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93"/>
        <w:rPr>
          <w:rFonts w:hint="eastAsia"/>
        </w:rPr>
      </w:pPr>
      <w:r>
        <w:rPr>
          <w:rFonts w:hint="eastAsia"/>
        </w:rPr>
      </w:r>
      <w:r/>
    </w:p>
    <w:p>
      <w:pPr>
        <w:pStyle w:val="110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left="2997" w:hanging="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安德门社区服务中心及安德门人防工程（地下停车场）电梯 </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JSZC-320100-JZCG-G2025-0370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0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cs="Times New Roman"/>
          <w:b/>
          <w:color w:val="000000"/>
          <w:sz w:val="44"/>
          <w:szCs w:val="21"/>
        </w:rPr>
        <w:sectPr>
          <w:headerReference w:type="default" r:id="rId9"/>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479757206"/>
      <w:r/>
      <w:bookmarkStart w:id="2" w:name="_Toc513029200"/>
      <w:r/>
      <w:bookmarkStart w:id="3" w:name="_Toc523127445"/>
      <w:r/>
      <w:bookmarkStart w:id="4" w:name="_Toc16938516"/>
      <w:r/>
      <w:bookmarkStart w:id="5" w:name="_Toc20823272"/>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32</w:t>
      </w:r>
      <w:bookmarkEnd w:id="0"/>
      <w:r/>
      <w:r/>
    </w:p>
    <w:p>
      <w:pPr>
        <w:ind w:right="840"/>
        <w:jc w:val="both"/>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ascii="宋体" w:hAnsi="宋体"/>
          <w:color w:val="000000"/>
          <w:sz w:val="24"/>
          <w:szCs w:val="24"/>
        </w:rPr>
      </w:pPr>
      <w:r/>
      <w:bookmarkStart w:id="6" w:name="_Toc28359079"/>
      <w:r/>
      <w:bookmarkStart w:id="7" w:name="_Toc35393621"/>
      <w:r/>
      <w:bookmarkStart w:id="8" w:name="_Hlk24379207"/>
      <w:r/>
      <w:bookmarkStart w:id="9" w:name="_Toc35393790"/>
      <w:r/>
      <w:bookmarkStart w:id="10" w:name="_Toc38985263"/>
      <w:r/>
      <w:bookmarkStart w:id="11" w:name="_Toc28359002"/>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南京市国防动员办公室(南京市人民防空办公室)</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安德门社区服务中心及安德门人防工程（地下停车场）电梯</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rPr>
      </w:pPr>
      <w:r/>
      <w:bookmarkStart w:id="12" w:name="_Toc35393791"/>
      <w:r/>
      <w:bookmarkStart w:id="13" w:name="_Toc28359080"/>
      <w:r/>
      <w:bookmarkStart w:id="14" w:name="_Toc35393622"/>
      <w:r/>
      <w:bookmarkStart w:id="15" w:name="_Toc38985264"/>
      <w:r/>
      <w:bookmarkStart w:id="16" w:name="_Toc28359003"/>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JSZC-320100-JZCG-G2025-0370 </w:t>
      </w:r>
      <w:r/>
    </w:p>
    <w:p>
      <w:pPr>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安德门社区服务中心及安德门人防工程（地下停车场）电梯</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90万元</w:t>
      </w:r>
      <w:r/>
    </w:p>
    <w:p>
      <w:pPr>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olor w:val="000000"/>
          <w:sz w:val="24"/>
          <w:szCs w:val="24"/>
          <w:lang w:val="en-US" w:eastAsia="zh-CN"/>
        </w:rPr>
        <w:t xml:space="preserve">85万元</w:t>
      </w:r>
      <w:r>
        <w:rPr>
          <w:rFonts w:hint="eastAsia" w:ascii="宋体" w:hAnsi="宋体" w:eastAsia="宋体" w:cs="宋体"/>
          <w:color w:val="000000"/>
          <w:sz w:val="24"/>
          <w:szCs w:val="24"/>
          <w:highlight w:val="none"/>
        </w:rPr>
        <w:t xml:space="preserve">。</w:t>
      </w:r>
      <w:r/>
    </w:p>
    <w:p>
      <w:pPr>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赛虹桥街道安德门社区服务中心项目、安德门人防工程（地下停车场）电梯采购、</w:t>
      </w:r>
      <w:r>
        <w:rPr>
          <w:rFonts w:hint="eastAsia" w:ascii="宋体" w:hAnsi="宋体"/>
          <w:color w:val="000000"/>
          <w:sz w:val="24"/>
          <w:szCs w:val="24"/>
          <w:lang w:val="en-US" w:eastAsia="zh-CN"/>
        </w:rPr>
        <w:t xml:space="preserve">安装及相关服务</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共计3台垂直电梯。</w:t>
      </w:r>
      <w:r>
        <w:rPr>
          <w:rFonts w:hint="eastAsia" w:ascii="宋体" w:hAnsi="宋体" w:cs="宋体"/>
          <w:color w:val="000000"/>
          <w:sz w:val="24"/>
          <w:szCs w:val="24"/>
        </w:rPr>
        <w:t xml:space="preserve">（详细内容见本招标文件第四章） </w:t>
      </w:r>
      <w:r/>
    </w:p>
    <w:p>
      <w:pPr>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60天</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bookmarkStart w:id="206" w:name="_GoBack"/>
      <w:r/>
      <w:bookmarkEnd w:id="206"/>
      <w:r/>
      <w:r/>
    </w:p>
    <w:p>
      <w:pPr>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5393792"/>
      <w:r/>
      <w:bookmarkStart w:id="19" w:name="_Toc38985265"/>
      <w:r/>
      <w:bookmarkStart w:id="20" w:name="_Toc28359081"/>
      <w:r/>
      <w:bookmarkStart w:id="21" w:name="_Toc28359004"/>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zh-CN"/>
        </w:rPr>
        <w:t xml:space="preserve">。</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（1）投标人若为制造商，须具有有效期内的《中华人民共和国特种设备制造许可证（电梯）》及《中华人民共和国特种设备安装改造维修许可证（电梯）》（或《中华人民共和国特种设备生产许可证》）；</w:t>
      </w:r>
      <w:r/>
    </w:p>
    <w:p>
      <w:pPr>
        <w:ind w:firstLine="480"/>
        <w:pageBreakBefore w:val="0"/>
        <w:spacing w:line="252" w:lineRule="auto"/>
        <w:widowControl w:val="off"/>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（2）投标人若为代理商，须具有有效期内的《中华人民共和国特种设备安装改造维修许可证（电梯）》或《中华人民共和国特种设备生产许可证》。</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5393794"/>
      <w:r/>
      <w:bookmarkStart w:id="29" w:name="_Toc38985267"/>
      <w:r/>
      <w:bookmarkStart w:id="30" w:name="_Toc2835908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25</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bCs/>
          <w:color w:val="000000" w:themeColor="text1"/>
          <w:sz w:val="24"/>
          <w:szCs w:val="24"/>
          <w:u w:val="none"/>
          <w:lang w:val="en-US" w:eastAsia="zh-CN"/>
          <w14:textFill>
            <w14:solidFill>
              <w14:schemeClr w14:val="tx1"/>
            </w14:solidFill>
          </w14:textFill>
        </w:rPr>
        <w:t xml:space="preserve">2</w:t>
      </w:r>
      <w:r>
        <w:rPr>
          <w:rFonts w:hint="eastAsia" w:ascii="宋体" w:hAnsi="宋体"/>
          <w:bCs/>
          <w:color w:val="000000" w:themeColor="text1"/>
          <w:sz w:val="24"/>
          <w:szCs w:val="24"/>
          <w:u w:val="none"/>
          <w14:textFill>
            <w14:solidFill>
              <w14:schemeClr w14:val="tx1"/>
            </w14:solidFill>
          </w14:textFill>
        </w:rPr>
        <w:t xml:space="preserve">日9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时30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1021"/>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highlight w:val="none"/>
          <w:lang w:val="en-US" w:eastAsia="zh-CN"/>
        </w:rPr>
        <w:t xml:space="preserve">本项目组织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供应商代表携带加盖单位公章的营业执照复印件、法定代表人授权委托书、身份证参加。签到时间：</w:t>
      </w:r>
      <w:r>
        <w:rPr>
          <w:rFonts w:hint="eastAsia" w:ascii="宋体" w:hAnsi="宋体" w:eastAsia="宋体" w:cs="宋体"/>
          <w:color w:val="auto"/>
          <w:sz w:val="24"/>
          <w:szCs w:val="24"/>
          <w:highlight w:val="none"/>
          <w:u w:val="none"/>
          <w:lang w:val="en-US" w:eastAsia="zh-CN"/>
        </w:rPr>
        <w:t xml:space="preserve">2025年11月21日9</w:t>
      </w:r>
      <w:r>
        <w:rPr>
          <w:rFonts w:hint="eastAsia" w:ascii="Times New Roman" w:hAnsi="Times New Roman" w:eastAsia="宋体" w:cs="Times New Roman"/>
          <w:bCs/>
          <w:color w:val="auto"/>
          <w:sz w:val="24"/>
          <w:szCs w:val="24"/>
          <w:u w:val="none"/>
          <w:lang w:val="en-US" w:eastAsia="zh-CN"/>
        </w:rPr>
        <w:t xml:space="preserve">时</w:t>
      </w:r>
      <w:r>
        <w:rPr>
          <w:rFonts w:hint="eastAsia" w:ascii="宋体" w:hAnsi="宋体" w:eastAsia="宋体" w:cs="宋体"/>
          <w:color w:val="auto"/>
          <w:sz w:val="24"/>
          <w:szCs w:val="24"/>
          <w:highlight w:val="none"/>
          <w:u w:val="none"/>
          <w:lang w:val="en-US" w:eastAsia="zh-CN"/>
        </w:rPr>
        <w:t xml:space="preserve">30</w:t>
      </w:r>
      <w:r>
        <w:rPr>
          <w:rFonts w:hint="eastAsia" w:ascii="宋体" w:hAnsi="宋体"/>
          <w:bCs/>
          <w:color w:val="auto"/>
          <w:sz w:val="24"/>
          <w:szCs w:val="24"/>
          <w:u w:val="none"/>
        </w:rPr>
        <w:t xml:space="preserve">分</w:t>
      </w:r>
      <w:r>
        <w:rPr>
          <w:rFonts w:hint="eastAsia" w:ascii="宋体" w:hAnsi="宋体"/>
          <w:bCs/>
          <w:color w:val="auto"/>
          <w:sz w:val="24"/>
          <w:szCs w:val="24"/>
          <w:u w:val="none"/>
          <w:lang w:eastAsia="zh-CN"/>
        </w:rPr>
        <w:t xml:space="preserve">至</w:t>
      </w:r>
      <w:r>
        <w:rPr>
          <w:rFonts w:hint="eastAsia" w:ascii="宋体" w:hAnsi="宋体" w:eastAsia="宋体" w:cs="宋体"/>
          <w:color w:val="auto"/>
          <w:sz w:val="24"/>
          <w:szCs w:val="24"/>
          <w:highlight w:val="none"/>
          <w:u w:val="none"/>
          <w:lang w:val="en-US" w:eastAsia="zh-CN"/>
        </w:rPr>
        <w:t xml:space="preserve">10</w:t>
      </w:r>
      <w:r>
        <w:rPr>
          <w:rFonts w:hint="eastAsia" w:ascii="Times New Roman" w:hAnsi="Times New Roman" w:eastAsia="宋体" w:cs="Times New Roman"/>
          <w:bCs/>
          <w:color w:val="auto"/>
          <w:sz w:val="24"/>
          <w:szCs w:val="24"/>
          <w:u w:val="none"/>
          <w:lang w:val="en-US" w:eastAsia="zh-CN"/>
        </w:rPr>
        <w:t xml:space="preserve">时</w:t>
      </w:r>
      <w:r>
        <w:rPr>
          <w:rFonts w:hint="eastAsia" w:ascii="宋体" w:hAnsi="宋体" w:eastAsia="宋体" w:cs="宋体"/>
          <w:color w:val="auto"/>
          <w:sz w:val="24"/>
          <w:szCs w:val="24"/>
          <w:highlight w:val="none"/>
          <w:u w:val="none"/>
          <w:lang w:val="en-US" w:eastAsia="zh-CN"/>
        </w:rPr>
        <w:t xml:space="preserve">00</w:t>
      </w:r>
      <w:r>
        <w:rPr>
          <w:rFonts w:hint="eastAsia" w:ascii="宋体" w:hAnsi="宋体"/>
          <w:bCs/>
          <w:color w:val="auto"/>
          <w:sz w:val="24"/>
          <w:szCs w:val="24"/>
          <w:u w:val="none"/>
        </w:rPr>
        <w:t xml:space="preserve">分</w:t>
      </w:r>
      <w:r>
        <w:rPr>
          <w:rFonts w:hint="eastAsia" w:ascii="宋体" w:hAnsi="宋体" w:eastAsia="宋体" w:cs="宋体"/>
          <w:color w:val="auto"/>
          <w:sz w:val="24"/>
          <w:szCs w:val="24"/>
          <w:highlight w:val="none"/>
          <w:u w:val="none"/>
          <w:lang w:val="en-US" w:eastAsia="zh-CN"/>
        </w:rPr>
        <w:t xml:space="preserve">，地址：南京市雨花台区小行路13号苏州一建项目部（江苏警官学院对面），联系人：杨先生，联系电话：13813863232</w:t>
      </w:r>
      <w:r>
        <w:rPr>
          <w:rFonts w:hint="eastAsia" w:ascii="宋体" w:hAnsi="宋体" w:cs="宋体"/>
          <w:color w:val="auto"/>
          <w:sz w:val="24"/>
          <w:szCs w:val="24"/>
          <w:highlight w:val="none"/>
          <w:u w:val="none"/>
        </w:rPr>
        <w:t xml:space="preserve">。</w:t>
      </w:r>
      <w:r>
        <w:rPr>
          <w:rFonts w:hint="eastAsia" w:ascii="宋体" w:hAnsi="宋体" w:eastAsia="宋体" w:cs="宋体"/>
          <w:color w:val="auto"/>
          <w:sz w:val="24"/>
          <w:szCs w:val="24"/>
          <w:lang w:val="en-US" w:eastAsia="zh-CN"/>
        </w:rPr>
        <w:t xml:space="preserve"> </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88"/>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2"/>
        <w:spacing w:line="252"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p>
    <w:p>
      <w:pPr>
        <w:pStyle w:val="102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olor w:val="000000"/>
          <w:sz w:val="24"/>
          <w:szCs w:val="24"/>
          <w:highlight w:val="none"/>
          <w:u w:val="none"/>
          <w:lang w:val="en-US" w:eastAsia="zh-CN"/>
        </w:rPr>
        <w:t xml:space="preserve">南京市国防动员办公室(南京市人民防空办公室)</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南京市北京东路35号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闫先生</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cs="Times New Roman"/>
          <w:color w:val="000000"/>
          <w:sz w:val="24"/>
          <w:szCs w:val="24"/>
          <w:highlight w:val="none"/>
          <w:lang w:val="en-US" w:eastAsia="zh-CN"/>
        </w:rPr>
        <w:t xml:space="preserve">025-</w:t>
      </w:r>
      <w:r>
        <w:rPr>
          <w:rFonts w:hint="eastAsia" w:ascii="宋体" w:hAnsi="宋体" w:eastAsia="宋体" w:cs="Times New Roman"/>
          <w:color w:val="000000"/>
          <w:sz w:val="24"/>
          <w:szCs w:val="24"/>
          <w:highlight w:val="none"/>
          <w:u w:val="none"/>
        </w:rPr>
        <w:t xml:space="preserve">86631661-8708</w:t>
      </w:r>
      <w:r>
        <w:rPr>
          <w:rFonts w:hint="eastAsia" w:ascii="宋体" w:hAnsi="宋体" w:eastAsia="宋体" w:cs="Times New Roman"/>
          <w:color w:val="000000"/>
          <w:sz w:val="24"/>
          <w:szCs w:val="24"/>
          <w:highlight w:val="none"/>
          <w:u w:val="none"/>
          <w:lang w:val="en-US" w:eastAsia="zh-CN"/>
        </w:rPr>
        <w:t xml:space="preserve"> </w:t>
      </w:r>
      <w:bookmarkStart w:id="40" w:name="_Toc28359009"/>
      <w:r/>
      <w:bookmarkStart w:id="41" w:name="_Toc28359086"/>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联系人：李先生</w:t>
      </w:r>
      <w:r/>
    </w:p>
    <w:p>
      <w:pPr>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联系电话：025-68505991 </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20614214"/>
      <w:r/>
      <w:bookmarkStart w:id="50" w:name="_Toc16938519"/>
      <w:r/>
      <w:bookmarkStart w:id="51" w:name="_Toc20823314"/>
      <w:r/>
      <w:bookmarkStart w:id="52" w:name="_Toc120614221"/>
      <w:r/>
      <w:bookmarkStart w:id="53" w:name="_Toc513029242"/>
      <w:r/>
      <w:bookmarkStart w:id="54" w:name="_Toc479757207"/>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20823277"/>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513029206"/>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16938527"/>
      <w:r/>
      <w:bookmarkStart w:id="80" w:name="_Toc462564070"/>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6938529"/>
      <w:r/>
      <w:bookmarkStart w:id="89" w:name="_Toc462564072"/>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20823286"/>
      <w:r/>
      <w:bookmarkStart w:id="93" w:name="_Toc513029214"/>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Hlt26668975"/>
      <w:r/>
      <w:bookmarkEnd w:id="101"/>
      <w:r/>
      <w:bookmarkStart w:id="102" w:name="_Toc49090507"/>
      <w:r/>
      <w:bookmarkStart w:id="103" w:name="_Toc14577354"/>
      <w:r/>
      <w:bookmarkStart w:id="104" w:name="_Toc513029216"/>
      <w:r/>
      <w:bookmarkStart w:id="105" w:name="_Toc49090509"/>
      <w:r/>
      <w:bookmarkStart w:id="106" w:name="_Toc14577357"/>
      <w:r/>
      <w:bookmarkStart w:id="107" w:name="_Toc51302921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102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844"/>
      <w:r/>
      <w:bookmarkEnd w:id="113"/>
      <w:r/>
      <w:bookmarkStart w:id="114" w:name="_Hlt26954848"/>
      <w:r/>
      <w:bookmarkEnd w:id="114"/>
      <w:r/>
      <w:bookmarkStart w:id="115" w:name="_Hlt26670486"/>
      <w:r/>
      <w:bookmarkEnd w:id="115"/>
      <w:r/>
      <w:bookmarkStart w:id="116" w:name="_Hlt26954842"/>
      <w:r/>
      <w:bookmarkEnd w:id="116"/>
      <w:r/>
      <w:bookmarkStart w:id="117" w:name="_Hlt26670425"/>
      <w:r/>
      <w:bookmarkEnd w:id="117"/>
      <w:r/>
      <w:bookmarkStart w:id="118" w:name="_Hlt26668983"/>
      <w:r/>
      <w:bookmarkEnd w:id="118"/>
      <w:r/>
      <w:bookmarkStart w:id="119" w:name="_Hlt26670403"/>
      <w:r/>
      <w:bookmarkEnd w:id="119"/>
      <w:r/>
      <w:bookmarkStart w:id="120" w:name="_Hlt26954846"/>
      <w:r/>
      <w:bookmarkEnd w:id="120"/>
      <w:r/>
      <w:bookmarkStart w:id="121" w:name="_Hlt26670482"/>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3"/>
      <w:r/>
      <w:bookmarkEnd w:id="124"/>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16938540"/>
      <w:r/>
      <w:bookmarkStart w:id="134" w:name="_Toc513029224"/>
      <w:r/>
      <w:bookmarkStart w:id="135" w:name="_Toc20823296"/>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462564084"/>
      <w:r/>
      <w:bookmarkStart w:id="138" w:name="_Toc16938541"/>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End w:id="140"/>
      <w:r/>
      <w:bookmarkStart w:id="141" w:name="_Toc513029226"/>
      <w:r/>
      <w:bookmarkEnd w:id="141"/>
      <w:r/>
      <w:bookmarkStart w:id="142" w:name="_Toc20823298"/>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20823300"/>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513029231"/>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1022"/>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20823306"/>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8" w:name="_Toc16938551"/>
      <w:r/>
      <w:bookmarkStart w:id="169" w:name="_Toc20823307"/>
      <w:r/>
      <w:bookmarkStart w:id="170" w:name="_Toc513029235"/>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w:t>
      </w:r>
      <w:r>
        <w:rPr>
          <w:rFonts w:hint="eastAsia" w:ascii="宋体" w:hAnsi="宋体" w:eastAsia="宋体" w:cs="Times New Roman"/>
          <w:b w:val="0"/>
          <w:bCs w:val="0"/>
          <w:color w:val="000000"/>
          <w:sz w:val="24"/>
          <w:szCs w:val="22"/>
          <w:lang w:val="en-US" w:eastAsia="zh-CN" w:bidi="ar"/>
        </w:rPr>
        <w:t xml:space="preserve">对</w:t>
      </w:r>
      <w:r>
        <w:rPr>
          <w:rFonts w:hint="eastAsia" w:ascii="宋体" w:hAnsi="宋体" w:eastAsia="宋体" w:cs="Times New Roman"/>
          <w:b w:val="0"/>
          <w:bCs w:val="0"/>
          <w:color w:val="000000"/>
          <w:sz w:val="24"/>
          <w:szCs w:val="22"/>
          <w:lang w:val="zh-CN" w:eastAsia="zh-CN" w:bidi="ar"/>
        </w:rPr>
        <w:t xml:space="preserve">招标文件是否存在不合理条款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5"/>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513029236"/>
      <w:r/>
      <w:bookmarkStart w:id="177" w:name="_Toc120614220"/>
      <w:r/>
      <w:bookmarkStart w:id="178" w:name="_Toc20823308"/>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bookmarkEnd w:id="177"/>
      <w:r/>
      <w:bookmarkEnd w:id="178"/>
      <w:r/>
      <w:bookmarkEnd w:id="179"/>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bookmarkStart w:id="180" w:name="_Toc513029237"/>
      <w:r/>
      <w:bookmarkStart w:id="181" w:name="_Toc20823309"/>
      <w:r/>
      <w:bookmarkStart w:id="182"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0"/>
      <w:r/>
      <w:bookmarkEnd w:id="181"/>
      <w:r/>
      <w:bookmarkEnd w:id="182"/>
      <w:r/>
      <w:r/>
    </w:p>
    <w:p>
      <w:pPr>
        <w:pStyle w:val="102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10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2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1022"/>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102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102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102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1022"/>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9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9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9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9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20823315"/>
      <w:r/>
      <w:bookmarkStart w:id="185" w:name="_Toc16938559"/>
      <w:r/>
      <w:bookmarkStart w:id="186" w:name="_Hlt16619350"/>
      <w:r/>
      <w:bookmarkStart w:id="187" w:name="_Toc16938590"/>
      <w:r/>
      <w:bookmarkStart w:id="188" w:name="_Toc120614244"/>
      <w:r/>
      <w:bookmarkStart w:id="189" w:name="_Toc20823346"/>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105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105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10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p>
    <w:p>
      <w:pPr>
        <w:pStyle w:val="105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1055"/>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p>
    <w:p>
      <w:pPr>
        <w:pStyle w:val="105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105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pStyle w:val="1055"/>
        <w:keepLines w:val="0"/>
        <w:keepNext w:val="0"/>
        <w:pageBreakBefore w:val="0"/>
        <w:spacing w:before="0" w:after="0" w:line="264" w:lineRule="auto"/>
        <w:widowControl w:val="off"/>
        <w:rPr>
          <w:rFonts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8.4 赛虹桥街道安德门社区服务中心项目两台由负三层至三层的垂直电梯费用由南京市雨花台区人民政府赛虹桥街道办事处承担；安德门人防工程（地下停车场）一台由负三层至一层的垂直电梯费费用由南京市国防动员办公室承担。乙方分别向南京市雨花台区人民政府赛虹桥街道办事处、南京市国防动员办公室申请相应范围的费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 甲方无正当理由拒收货物的，应向乙方偿付拒收货物总价款</w:t>
      </w:r>
      <w:r>
        <w:rPr>
          <w:rFonts w:hint="eastAsia" w:ascii="宋体" w:hAnsi="宋体" w:eastAsia="宋体" w:cs="Courier New"/>
          <w:color w:val="000000"/>
          <w:sz w:val="24"/>
          <w:szCs w:val="24"/>
          <w:u w:val="single"/>
        </w:rPr>
        <w:t xml:space="preserve"> 20%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 甲方无故逾期验收和办理货款支付手续的，应按逾期付款总额每日</w:t>
      </w:r>
      <w:r>
        <w:rPr>
          <w:rFonts w:hint="eastAsia" w:ascii="宋体" w:hAnsi="宋体" w:eastAsia="宋体" w:cs="Courier New"/>
          <w:color w:val="000000"/>
          <w:sz w:val="24"/>
          <w:szCs w:val="24"/>
          <w:u w:val="single"/>
        </w:rPr>
        <w:t xml:space="preserve"> 2000元</w:t>
      </w:r>
      <w:r>
        <w:rPr>
          <w:rFonts w:hint="eastAsia" w:ascii="宋体" w:hAnsi="宋体" w:eastAsia="宋体" w:cs="Courier New"/>
          <w:color w:val="000000"/>
          <w:sz w:val="24"/>
          <w:szCs w:val="24"/>
        </w:rPr>
        <w:t xml:space="preserve"> 向乙方支付违约金。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 乙方逾期交付货物的，应按逾期交货总额每日</w:t>
      </w:r>
      <w:r>
        <w:rPr>
          <w:rFonts w:hint="eastAsia" w:ascii="宋体" w:hAnsi="宋体" w:eastAsia="宋体" w:cs="Courier New"/>
          <w:color w:val="000000"/>
          <w:sz w:val="24"/>
          <w:szCs w:val="24"/>
          <w:u w:val="single"/>
        </w:rPr>
        <w:t xml:space="preserve"> 2000元</w:t>
      </w:r>
      <w:r>
        <w:rPr>
          <w:rFonts w:hint="eastAsia" w:ascii="宋体" w:hAnsi="宋体" w:eastAsia="宋体" w:cs="Courier New"/>
          <w:color w:val="000000"/>
          <w:sz w:val="24"/>
          <w:szCs w:val="24"/>
        </w:rPr>
        <w:t xml:space="preserve"> 向甲方支付违约金，由甲方从待付货款中扣除。逾期超过约定日期10个工作日不能交货的，甲方可解除本合同。乙方因逾期交货或因其他违约行为导致甲方解除合同的，应向甲方支付合同总价 </w:t>
      </w:r>
      <w:r>
        <w:rPr>
          <w:rFonts w:hint="eastAsia" w:ascii="宋体" w:hAnsi="宋体" w:eastAsia="宋体" w:cs="Courier New"/>
          <w:color w:val="000000"/>
          <w:sz w:val="24"/>
          <w:szCs w:val="24"/>
          <w:u w:val="single"/>
        </w:rPr>
        <w:t xml:space="preserve">20%</w:t>
      </w:r>
      <w:r>
        <w:rPr>
          <w:rFonts w:hint="eastAsia" w:ascii="宋体" w:hAnsi="宋体" w:eastAsia="宋体" w:cs="Courier New"/>
          <w:color w:val="000000"/>
          <w:sz w:val="24"/>
          <w:szCs w:val="24"/>
        </w:rPr>
        <w:t xml:space="preserve"> 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3"/>
      <w:r/>
      <w:bookmarkEnd w:id="184"/>
      <w:r/>
      <w:bookmarkEnd w:id="185"/>
      <w:r/>
      <w:r/>
    </w:p>
    <w:p>
      <w:pPr>
        <w:pStyle w:val="1055"/>
        <w:keepLines w:val="0"/>
        <w:keepNext w:val="0"/>
        <w:pageBreakBefore w:val="0"/>
        <w:spacing w:before="120" w:after="120" w:line="264" w:lineRule="auto"/>
        <w:widowControl w:val="off"/>
        <w:rPr>
          <w:rFonts w:hint="eastAsia" w:hAnsi="宋体" w:eastAsia="宋体" w:cs="Courier New"/>
          <w:sz w:val="24"/>
          <w:szCs w:val="24"/>
        </w:rPr>
      </w:pPr>
      <w:r/>
      <w:bookmarkStart w:id="192" w:name="_Hlt16619369"/>
      <w:r/>
      <w:bookmarkEnd w:id="192"/>
      <w:r>
        <w:rPr>
          <w:rFonts w:hint="eastAsia" w:hAnsi="宋体" w:eastAsia="宋体" w:cs="Courier New"/>
          <w:sz w:val="24"/>
          <w:szCs w:val="24"/>
        </w:rPr>
        <w:t xml:space="preserve">  </w:t>
      </w:r>
      <w:r/>
    </w:p>
    <w:p>
      <w:pPr>
        <w:pStyle w:val="105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105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105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105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105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105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105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both"/>
        <w:spacing w:before="145" w:after="145" w:line="264" w:lineRule="auto"/>
        <w:rPr>
          <w:rFonts w:hint="eastAsia" w:ascii="方正小标宋简体" w:hAnsi="方正小标宋简体" w:eastAsia="方正小标宋简体" w:cs="方正小标宋简体"/>
          <w:bCs/>
          <w:color w:val="000000"/>
          <w:sz w:val="32"/>
          <w:szCs w:val="32"/>
          <w:lang w:val="en-US" w:eastAsia="zh-CN"/>
        </w:rPr>
        <w:outlineLvl w:val="1"/>
      </w:pPr>
      <w:r>
        <w:rPr>
          <w:rFonts w:hint="eastAsia" w:ascii="方正小标宋简体" w:hAnsi="方正小标宋简体" w:eastAsia="方正小标宋简体" w:cs="方正小标宋简体"/>
          <w:bCs/>
          <w:color w:val="000000"/>
          <w:sz w:val="32"/>
          <w:szCs w:val="32"/>
          <w:lang w:val="en-US" w:eastAsia="zh-CN"/>
        </w:rPr>
        <w:t xml:space="preserve">附件1：采购需求</w:t>
      </w:r>
      <w:r>
        <w:rPr>
          <w:rFonts w:hint="eastAsia"/>
          <w:b/>
          <w:bCs/>
          <w:sz w:val="32"/>
          <w:szCs w:val="32"/>
          <w:lang w:val="en-US" w:eastAsia="zh-CN"/>
        </w:rPr>
        <w:t xml:space="preserve">及违约补充条款</w:t>
      </w:r>
      <w:r/>
    </w:p>
    <w:p>
      <w:pPr>
        <w:pStyle w:val="1140"/>
        <w:ind w:left="0" w:firstLine="0"/>
        <w:jc w:val="center"/>
        <w:keepLines w:val="0"/>
        <w:keepNext w:val="0"/>
        <w:pageBreakBefore w:val="0"/>
        <w:spacing w:after="0" w:line="264" w:lineRule="auto"/>
        <w:widowControl w:val="off"/>
        <w:rPr>
          <w:rFonts w:hint="eastAsia"/>
          <w:b/>
          <w:bCs/>
          <w:sz w:val="32"/>
          <w:szCs w:val="32"/>
          <w:lang w:val="en-US" w:eastAsia="zh-CN"/>
        </w:rPr>
      </w:pPr>
      <w:r>
        <w:rPr>
          <w:rFonts w:hint="eastAsia"/>
          <w:b/>
          <w:bCs/>
          <w:sz w:val="32"/>
          <w:szCs w:val="32"/>
          <w:lang w:val="en-US" w:eastAsia="zh-CN"/>
        </w:rPr>
        <w:t xml:space="preserve">赛虹桥街道安德门社区服务中心、安德门人防工程（地下停车场）</w:t>
      </w:r>
      <w:r/>
    </w:p>
    <w:p>
      <w:pPr>
        <w:pStyle w:val="1140"/>
        <w:ind w:left="0" w:firstLine="0"/>
        <w:jc w:val="center"/>
        <w:keepLines w:val="0"/>
        <w:keepNext w:val="0"/>
        <w:pageBreakBefore w:val="0"/>
        <w:spacing w:after="0" w:line="264" w:lineRule="auto"/>
        <w:widowControl w:val="off"/>
        <w:rPr>
          <w:b/>
          <w:bCs/>
          <w:sz w:val="32"/>
          <w:szCs w:val="32"/>
          <w:lang w:val="en-US" w:eastAsia="zh-CN"/>
        </w:rPr>
      </w:pPr>
      <w:r>
        <w:rPr>
          <w:rFonts w:hint="eastAsia"/>
          <w:b/>
          <w:bCs/>
          <w:sz w:val="32"/>
          <w:szCs w:val="32"/>
          <w:lang w:val="en-US" w:eastAsia="zh-CN"/>
        </w:rPr>
        <w:t xml:space="preserve">垂直电梯采购需求及违约补充条款</w:t>
      </w:r>
      <w:r/>
    </w:p>
    <w:p>
      <w:pPr>
        <w:ind w:left="0" w:firstLine="482"/>
        <w:jc w:val="left"/>
        <w:keepLines w:val="0"/>
        <w:keepNext w:val="0"/>
        <w:pageBreakBefore w:val="0"/>
        <w:spacing w:line="264" w:lineRule="auto"/>
        <w:widowControl w:val="off"/>
        <w:rPr>
          <w:b/>
          <w:bCs/>
          <w:sz w:val="24"/>
          <w:szCs w:val="24"/>
          <w:lang w:val="en-US" w:eastAsia="zh-CN"/>
        </w:rPr>
      </w:pPr>
      <w:r>
        <w:rPr>
          <w:rFonts w:hint="eastAsia"/>
          <w:b/>
          <w:bCs/>
          <w:sz w:val="24"/>
          <w:szCs w:val="24"/>
          <w:lang w:val="en-US" w:eastAsia="zh-CN"/>
        </w:rPr>
        <w:t xml:space="preserve">一、采购需求</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具体内容详见第四章</w:t>
      </w:r>
      <w:r/>
    </w:p>
    <w:p>
      <w:pPr>
        <w:ind w:left="0" w:firstLine="482"/>
        <w:jc w:val="left"/>
        <w:keepLines w:val="0"/>
        <w:keepNext w:val="0"/>
        <w:pageBreakBefore w:val="0"/>
        <w:spacing w:line="264" w:lineRule="auto"/>
        <w:widowControl w:val="off"/>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二、违约补充条款</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1、合同双方之任何一方不能全面履行合同条款，均属违约。违约所造成的所有责任和经济损失概由违约方承担。</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2、除非双方协议将合同终止，或一方依据本合同之规定依法终止合同的情形外，违约方承担前述违约责任后仍必须履行合同。</w:t>
      </w:r>
      <w:r/>
    </w:p>
    <w:p>
      <w:pPr>
        <w:pStyle w:val="1093"/>
        <w:ind w:left="0"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3、货物到达现场后，未正式交付甲方前，由乙方采取措施，进行看护和保护，因看护和保护不到位，导致的损失由乙方承担。</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应服从甲方及其委托的全过程工程咨询单位（江苏建工程咨询有限公司）的管理，根据甲方对施工现场的统一布置及施工进度安排履行合同，与工程总承包单位（苏州第一建筑集团有限公司）签订安全责任协议书，并做好配合工作，服从总承包单位对现场的安全管理，对进入施工现场的所有参与作业人员进行安全教育，严格遵守和执行施工现场的各项安全生产规章制度。</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5、因甲方原因，导致的工期延误，工期予以顺延，费用不予以调整。乙方应在索赔发生之日起，7天内，书面报告甲方。</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贯彻执行“安全第一，预防为主，综合治理”的方针，做好各项防护工作，安全生产做到标准化、制度化、规范化。乙方必须确保按南京市有关安全文明施工的要求组织实施，杜绝安全隐患、确保无安全事故发生。</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1）因乙方安全防护不到位、管理不到位等原因导致的所有安全责任和经济赔偿，全部由乙方承担。</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2）在乙方履行合同期间，发生的相关人员伤亡、财产损失、外部矛盾等等，全部由乙方自行协调解决，并承担相关费用。</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认真落实各项安全管理制度，坚决杜绝违章指挥和违章作业，对员工不断进行安全教育，并及时检查，发现隐患及时排除。如甲方（或其委托的机构）每发现一处普通安全隐患（不涉及生命安全），乙方向甲方支付违约金500元/处；每发现一处重大安全问题（涉及生命安全），乙方向甲方支付违约金2000元/处。累计质量违约金额达到合同额的10%时，甲方有权单方面终止本合同，乙方退还甲方已支付的所有费用，并向甲方支付合同额10%的违约金（不含已支付的其他各项违约金）。</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4）发生人员伤亡或经济损失超过10万元，甲方有权单方面终止本合同，乙方退还甲方已支付的所有费用，并向甲方支付合同额20%的违约金（不含已支付的其他各项违约金）。</w:t>
      </w:r>
      <w:r/>
    </w:p>
    <w:p>
      <w:pPr>
        <w:pStyle w:val="1093"/>
        <w:ind w:left="0"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7、乙方在进行货物运输，应遵守相关的交通法规。运输、场外装卸期间，发生的任何人员伤亡、财产损失、外部矛盾等等，全部由乙方自行协调解决，并承担相关费用。</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8、乙方现场使用的机械、设备等，应符合现行的相关规范标准。否则，甲方（或其委托的机构）有权要求乙方停工整改。乙方需无条件执行，并按进度条款、安全条款承担相应的违约责任。</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9、乙方应给作业人员，提供齐全的、合格的、有效期内的安全防护用品。作业前，乙方需向作业人员进行书面的安全交底。否则，乙方应按安全文明要求承担违约责任，并承担因此导致的所有责任和经济赔偿。</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乙方应按照国家、省、市等各级部门对文明施工的要求，做好现场的安全文明施工工作。每日施工完成后，应及时清理现场，保证现场整洁。如甲方（或其委托的机构）每发现一处文明施工问题，乙方向甲方支付违约金500元/处。</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11、因乙方原因，被媒体曝光或者相关行业、主管部门批评，引起恶劣影响，甲方有权单方面终止本合同，乙方退还甲方已支付的所有费用，并向甲方支付合同额20%的违约金（不含已支付的其他各项违约金）。</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12、因乙方原因导致的、其他未描述的、不符合相关法律法规规定的问题或现象，甲方（或其委托的机构）有权视情节严重程度，要求乙方支付甲方500元/次或1000元/次或2000元/次的违约金。</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13、因乙方原因终止合同时，乙方退还甲方已支付的所有费用，并向甲方支付合同额10%的违约金（不含已支付的其他各项违约金）。</w:t>
      </w:r>
      <w:r/>
    </w:p>
    <w:p>
      <w:pPr>
        <w:pStyle w:val="1093"/>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乙方保证及时给相关工作人员结算、支付人员工资。确保不拖欠人员工资，否则甲方有权直接扣除部分乙方应收合同款以支付人员工资，同时乙方向甲方支付合同价款20%的违约金。如因拖欠人员工资引起人员信访、诉讼等集体聚众行为，甲方有权解除合同。合同解除，不免除乙方的上述违约责任。在甲方按照本合同约定的期限支付合同款的情况下，乙方组织的工作人员以工资拖欠为由投诉或影响甲方正常工作秩序，甲方有权单方面终止本合同，乙方按上述约定承担违约责任，并向甲方支付合同额10%的违约金（不含已支付的其他各项违约金）。</w:t>
      </w:r>
      <w:r/>
    </w:p>
    <w:p>
      <w:pPr>
        <w:rPr>
          <w:rFonts w:hint="eastAsia"/>
          <w:b/>
          <w:bCs/>
          <w:sz w:val="32"/>
          <w:szCs w:val="32"/>
          <w:lang w:val="en-US" w:eastAsia="zh-CN"/>
        </w:rPr>
      </w:pPr>
      <w:r>
        <w:rPr>
          <w:rFonts w:hint="eastAsia"/>
          <w:b/>
          <w:bCs/>
          <w:sz w:val="32"/>
          <w:szCs w:val="32"/>
          <w:lang w:val="en-US" w:eastAsia="zh-CN"/>
        </w:rPr>
        <w:br w:type="page" w:clear="all"/>
      </w:r>
      <w:r/>
    </w:p>
    <w:p>
      <w:pPr>
        <w:rPr>
          <w:rFonts w:hint="eastAsia"/>
          <w:lang w:val="en-US" w:eastAsia="zh-CN"/>
        </w:rPr>
      </w:pPr>
      <w:r>
        <w:rPr>
          <w:rFonts w:hint="eastAsia"/>
          <w:lang w:val="en-US" w:eastAsia="zh-CN"/>
        </w:rPr>
      </w:r>
      <w:r/>
    </w:p>
    <w:p>
      <w:pPr>
        <w:jc w:val="both"/>
        <w:spacing w:before="145" w:after="145" w:line="264" w:lineRule="auto"/>
        <w:rPr>
          <w:rFonts w:hint="eastAsia" w:ascii="方正小标宋简体" w:hAnsi="方正小标宋简体" w:eastAsia="方正小标宋简体" w:cs="方正小标宋简体"/>
          <w:bCs/>
          <w:color w:val="000000"/>
          <w:sz w:val="32"/>
          <w:szCs w:val="32"/>
          <w:lang w:val="en-US" w:eastAsia="zh-CN"/>
        </w:rPr>
        <w:outlineLvl w:val="1"/>
      </w:pPr>
      <w:r>
        <w:rPr>
          <w:rFonts w:hint="eastAsia" w:ascii="方正小标宋简体" w:hAnsi="方正小标宋简体" w:eastAsia="方正小标宋简体" w:cs="方正小标宋简体"/>
          <w:bCs/>
          <w:color w:val="000000"/>
          <w:sz w:val="32"/>
          <w:szCs w:val="32"/>
          <w:lang w:val="en-US" w:eastAsia="zh-CN"/>
        </w:rPr>
        <w:t xml:space="preserve">附件2：廉政协议书</w:t>
      </w:r>
      <w:r/>
    </w:p>
    <w:p>
      <w:pPr>
        <w:pStyle w:val="1140"/>
        <w:ind w:left="0" w:firstLine="0"/>
        <w:jc w:val="center"/>
        <w:keepLines w:val="0"/>
        <w:keepNext w:val="0"/>
        <w:pageBreakBefore w:val="0"/>
        <w:spacing w:after="0" w:line="264" w:lineRule="auto"/>
        <w:widowControl w:val="off"/>
        <w:rPr>
          <w:rFonts w:hint="eastAsia"/>
          <w:b/>
          <w:bCs/>
          <w:sz w:val="32"/>
          <w:szCs w:val="32"/>
          <w:lang w:val="en-US" w:eastAsia="zh-CN"/>
        </w:rPr>
      </w:pPr>
      <w:r>
        <w:rPr>
          <w:rFonts w:hint="eastAsia"/>
          <w:b/>
          <w:bCs/>
          <w:sz w:val="32"/>
          <w:szCs w:val="32"/>
          <w:lang w:val="en-US" w:eastAsia="zh-CN"/>
        </w:rPr>
        <w:t xml:space="preserve">赛虹桥街道安德门社区服务中心</w:t>
      </w:r>
      <w:r/>
    </w:p>
    <w:p>
      <w:pPr>
        <w:pStyle w:val="1140"/>
        <w:ind w:left="0" w:firstLine="0"/>
        <w:jc w:val="center"/>
        <w:keepLines w:val="0"/>
        <w:keepNext w:val="0"/>
        <w:pageBreakBefore w:val="0"/>
        <w:spacing w:after="0" w:line="264" w:lineRule="auto"/>
        <w:widowControl w:val="off"/>
        <w:rPr>
          <w:rFonts w:hint="eastAsia"/>
          <w:b/>
          <w:bCs/>
          <w:sz w:val="32"/>
          <w:szCs w:val="32"/>
          <w:lang w:val="en-US" w:eastAsia="zh-CN"/>
        </w:rPr>
      </w:pPr>
      <w:r>
        <w:rPr>
          <w:rFonts w:hint="eastAsia"/>
          <w:b/>
          <w:bCs/>
          <w:sz w:val="32"/>
          <w:szCs w:val="32"/>
          <w:lang w:val="en-US" w:eastAsia="zh-CN"/>
        </w:rPr>
        <w:t xml:space="preserve">安德门人防工程（地下停车场）</w:t>
      </w:r>
      <w:r/>
    </w:p>
    <w:p>
      <w:pPr>
        <w:pStyle w:val="1140"/>
        <w:ind w:firstLine="0"/>
        <w:jc w:val="center"/>
        <w:keepLines w:val="0"/>
        <w:keepNext w:val="0"/>
        <w:pageBreakBefore w:val="0"/>
        <w:spacing w:after="0" w:line="264" w:lineRule="auto"/>
        <w:widowControl w:val="off"/>
        <w:rPr>
          <w:rFonts w:hint="eastAsia"/>
          <w:b/>
          <w:bCs/>
          <w:sz w:val="32"/>
          <w:szCs w:val="32"/>
          <w:lang w:val="en-US" w:eastAsia="zh-CN"/>
        </w:rPr>
      </w:pPr>
      <w:r>
        <w:rPr>
          <w:rFonts w:hint="eastAsia"/>
          <w:b/>
          <w:bCs/>
          <w:sz w:val="32"/>
          <w:szCs w:val="32"/>
          <w:lang w:val="en-US" w:eastAsia="zh-CN"/>
        </w:rPr>
        <w:t xml:space="preserve">垂直电梯采购廉政协议书</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根据国家及有关部委有关工程建设、廉政建设的规定，为做好本工程的党风廉政建设，保证工程建设高效优质，保证建设资金的安全和有效使用以及投资效益，建设工程的甲方南京市雨花台区人民政府赛虹桥街道办事处、南京市国防动员办公室（以下简称“甲方”），与乙方                                 （以下简称“乙方”）特订立如下合同：</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1、甲方与乙方双方的权利和义务</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⑴严格遵守党的政策规定和国家有关法律法规及相关部委规定。</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⑵严格执行赛虹桥街道安德门社区服务中心、安德门人防工程（地下停车场）的垂直电梯采购合同文件，自觉按合同办事。</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⑶双方的业务活动坚持公开、公正、诚信、透明的原则（法律认定的商业秘密和合同文件另有规定除外），不得损害国家和集体利益，违反工程建设管理规章制度。</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⑷建立健全廉政制度，开展廉政教育，设立廉政告示牌，公布举报电话，监督并认真查处违法违纪行为。</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⑸发现对方在业务活动中有违反廉政规定的行为，有及时提醒对方纠正的权利和义务。</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⑹发现对方严重违反本合同义务条款的行为，有向其上级有关部门举报、建议给予处理并要求告知处理结果的权利。</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2、甲方的义务</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⑴甲方及其工作人员不得索要或接受乙方的礼金、有价证券和贵重物品，不得在乙方报销任何应由甲方工作人员个人支付的费用等。</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⑵甲方工作人员不得参加乙方安排的超标准宴请和娱乐活动；不得接受乙方提供的通讯工具、交通工具和高档办公用品等。</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⑶甲方及其工作人员不得要求或者接受乙方为其住房装修、婚丧嫁娶活动、配偶子女的工作安排以及出国出境、旅游等提供方便等。</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⑷甲方工作人员及其配偶、子女不得从事与乙方工程有关的材料设备供应、工程分包、劳务等经济活动等。</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⑸甲方及其工作人员不得以任何理由向乙方推荐分包单位或推销材料，不得要求乙方购买合同规定外的材料和设备。</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⑹甲方工作人员要秉公办事，不准营私舞弊，不准利用职权从事各种个人有偿中介活动和安排个人业务。</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3、乙方义务</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⑴乙方不得以任何理由向甲方及其工作人员行贿或馈赠礼金、有价证券、贵重礼品。</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⑵乙方不得以任何名义为甲方及其工作人员报销应由甲方单位或个人支付的任何费用。</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⑶乙方不得以任何理由安排甲方工作人员参加超标准宴请及娱乐活动。</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⑷乙方不得为甲方单位和个人购置或提供通讯工具、交通工具和高档办公用品等。</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4、违约责任</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⑴甲方及其工作人员违反本合同第一、二条，按管理权限，依据有关规定给予党纪、政纪或组织处理；涉嫌犯罪的，移交司法机关追究刑事责任；给乙方单位造成经济损失的，应予以赔偿。</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5、双方约定：本合同由双方或双方上级单位的纪检监察机关负责监督执行。由甲方或上级单位的纪检监察机关约请乙方或乙方上级单位纪检监察机关对本合同执行情况进行检查，提出在本合同规定范围内的裁定意见。</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6、本合同有效期为甲方与乙方双方签署之日起至该工程项目竣工结算审计后止。</w:t>
      </w:r>
      <w:r/>
    </w:p>
    <w:p>
      <w:pPr>
        <w:pStyle w:val="1140"/>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7、本合同作为赛虹桥街道安德门社区服务中心、安德门人防工程（地下停车场）垂直电梯采购合同的附件，与设计合同具有同等的法律效力，经合同双方签署立即生效。</w:t>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1140"/>
        <w:ind w:firstLine="480"/>
        <w:keepLines w:val="0"/>
        <w:keepNext w:val="0"/>
        <w:pageBreakBefore w:val="0"/>
        <w:spacing w:after="0" w:line="264" w:lineRule="auto"/>
        <w:widowControl w:val="off"/>
        <w:rPr>
          <w:rFonts w:hint="eastAsia" w:cs="Times New Roman"/>
          <w:sz w:val="24"/>
          <w:szCs w:val="24"/>
          <w:lang w:val="en-US" w:eastAsia="zh-CN"/>
        </w:rPr>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s="Times New Roman"/>
          <w:sz w:val="24"/>
          <w:szCs w:val="24"/>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甲方：                     （公章）</w:t>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法定代表人或其委托代理人：（签字）</w:t>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时  间：      年    月    日</w:t>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乙方：                    （公章）</w:t>
      </w:r>
      <w:r/>
    </w:p>
    <w:p>
      <w:pPr>
        <w:rPr>
          <w:rFonts w:hint="eastAsia" w:cs="Times New Roman"/>
          <w:sz w:val="24"/>
          <w:szCs w:val="24"/>
          <w:lang w:val="en-US" w:eastAsia="zh-CN"/>
        </w:rPr>
      </w:pPr>
      <w:r>
        <w:rPr>
          <w:rFonts w:hint="eastAsia" w:cs="Times New Roman"/>
          <w:sz w:val="24"/>
          <w:szCs w:val="24"/>
          <w:lang w:val="en-US" w:eastAsia="zh-CN"/>
        </w:rPr>
      </w:r>
      <w:r/>
    </w:p>
    <w:p>
      <w:pPr>
        <w:rPr>
          <w:rFonts w:hint="eastAsia" w:cs="Times New Roman"/>
          <w:sz w:val="24"/>
          <w:szCs w:val="24"/>
          <w:lang w:val="en-US" w:eastAsia="zh-CN"/>
        </w:rPr>
      </w:pPr>
      <w:r>
        <w:rPr>
          <w:rFonts w:hint="eastAsia" w:cs="Times New Roman"/>
          <w:sz w:val="24"/>
          <w:szCs w:val="24"/>
          <w:lang w:val="en-US" w:eastAsia="zh-CN"/>
        </w:rPr>
      </w:r>
      <w:r/>
    </w:p>
    <w:p>
      <w:pPr>
        <w:rPr>
          <w:rFonts w:hint="eastAsia" w:cs="Times New Roman"/>
          <w:sz w:val="24"/>
          <w:szCs w:val="24"/>
          <w:lang w:val="en-US" w:eastAsia="zh-CN"/>
        </w:rPr>
      </w:pPr>
      <w:r>
        <w:rPr>
          <w:rFonts w:hint="eastAsia" w:cs="Times New Roman"/>
          <w:sz w:val="24"/>
          <w:szCs w:val="24"/>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法定代表人或其委托代理人：（签字）</w:t>
      </w:r>
      <w:r/>
    </w:p>
    <w:p>
      <w:pPr>
        <w:rPr>
          <w:rFonts w:hint="eastAsia" w:cs="Times New Roman"/>
          <w:sz w:val="24"/>
          <w:szCs w:val="24"/>
          <w:lang w:val="en-US" w:eastAsia="zh-CN"/>
        </w:rPr>
      </w:pPr>
      <w:r>
        <w:rPr>
          <w:rFonts w:hint="eastAsia" w:cs="Times New Roman"/>
          <w:sz w:val="24"/>
          <w:szCs w:val="24"/>
          <w:lang w:val="en-US" w:eastAsia="zh-CN"/>
        </w:rPr>
      </w:r>
      <w:r/>
    </w:p>
    <w:p>
      <w:pPr>
        <w:rPr>
          <w:rFonts w:hint="eastAsia" w:cs="Times New Roman"/>
          <w:sz w:val="24"/>
          <w:szCs w:val="24"/>
          <w:lang w:val="en-US" w:eastAsia="zh-CN"/>
        </w:rPr>
      </w:pPr>
      <w:r>
        <w:rPr>
          <w:rFonts w:hint="eastAsia" w:cs="Times New Roman"/>
          <w:sz w:val="24"/>
          <w:szCs w:val="24"/>
          <w:lang w:val="en-US" w:eastAsia="zh-CN"/>
        </w:rPr>
      </w:r>
      <w:r/>
    </w:p>
    <w:p>
      <w:pPr>
        <w:rPr>
          <w:rFonts w:hint="eastAsia" w:cs="Times New Roman"/>
          <w:sz w:val="24"/>
          <w:szCs w:val="24"/>
          <w:lang w:val="en-US" w:eastAsia="zh-CN"/>
        </w:rPr>
      </w:pPr>
      <w:r>
        <w:rPr>
          <w:rFonts w:hint="eastAsia" w:cs="Times New Roman"/>
          <w:sz w:val="24"/>
          <w:szCs w:val="24"/>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时  间：      年    月    日</w:t>
      </w:r>
      <w:r/>
    </w:p>
    <w:p>
      <w:pPr>
        <w:rPr>
          <w:rFonts w:hint="eastAsia" w:cs="Times New Roman"/>
          <w:sz w:val="24"/>
          <w:szCs w:val="24"/>
          <w:lang w:val="en-US" w:eastAsia="zh-CN"/>
        </w:rPr>
      </w:pPr>
      <w:r>
        <w:rPr>
          <w:rFonts w:hint="eastAsia" w:cs="Times New Roman"/>
          <w:sz w:val="24"/>
          <w:szCs w:val="24"/>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140"/>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jc w:val="center"/>
        <w:spacing w:before="120" w:after="120" w:line="0" w:lineRule="atLeast"/>
        <w:rPr>
          <w:rFonts w:hint="eastAsia" w:ascii="宋体" w:hAnsi="宋体" w:eastAsia="宋体" w:cs="Courier New"/>
          <w:color w:val="000000"/>
          <w:sz w:val="24"/>
          <w:szCs w:val="24"/>
          <w:lang w:val="en-US" w:eastAsia="zh-CN" w:bidi="ar-SA"/>
        </w:rPr>
        <w:sectPr>
          <w:footnotePr/>
          <w:endnotePr/>
          <w:type w:val="continuous"/>
          <w:pgSz w:w="11906" w:h="16838" w:orient="portrait"/>
          <w:pgMar w:top="1440" w:right="1080" w:bottom="1440" w:left="1080" w:header="851" w:footer="907" w:gutter="0"/>
          <w:pgNumType w:start="1"/>
          <w:cols w:num="2" w:sep="0" w:space="1701" w:equalWidth="0">
            <w:col w:w="4660" w:space="425"/>
            <w:col w:w="4660" w:space="0"/>
          </w:cols>
          <w:docGrid w:linePitch="360"/>
          <w:titlePg/>
        </w:sectPr>
        <w:outlineLvl w:val="0"/>
      </w:pPr>
      <w:r>
        <w:rPr>
          <w:rFonts w:hint="eastAsia" w:ascii="宋体" w:hAnsi="宋体" w:eastAsia="宋体" w:cs="Courier New"/>
          <w:color w:val="000000"/>
          <w:sz w:val="24"/>
          <w:szCs w:val="24"/>
          <w:lang w:val="en-US" w:eastAsia="zh-CN" w:bidi="ar-SA"/>
        </w:rPr>
        <w:br w:type="page" w:clear="all"/>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1.项目位于雨花台区赛虹桥街道小行路，为原安德门民工就业市场地块。</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本项目地上、地下建筑分开立项，分属不同的建设单位。</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上建筑为南京市雨花台区人民政府赛虹桥街道办事处投资建设的赛虹桥街道安德门社区服务中心项目，划拨用地面积7606.45平方米，规划许可建筑面积8038.25平方米，高度约13.5米，主要建设内容为一栋三层基层社区服务中心，包括社区卫生服中心、居家养老服务站、文化活动中心、体育活动站、街政管理中心、社区服务中心、社区警务室、公厕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下建筑为南京市国防动员办公室投资建设的安德门人防工程（地下停车场），主要建设内容为一栋地下三层人防工程及配套设施，划拨用地面积11473.8平方米，规划许可建筑面积24407.32万平方米，埋深13.15米。平时主要功能为自走式机动车库。战时主要功能为二等人员隐蔽部、固定电站、人防物资库。</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人防工程与社区中心部分设施合用，两项目同步设计、施工，同步建设完毕投入使用。项目建设期间，在西北角和东南角各设置出入口一个，主要出入口位于西北角。</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赛虹桥街道安德门社区服务中心项目、安德门人防工程（地下停车场）电梯采购，共计3台客梯。根据后期各自的管理界限和电梯使用范围，1部垂直电梯（负三层到地面一层，4层4站4门）费用计入人防工程，2部垂直电梯（负三层到地面三层，6层6站6门）费用计入社区服务中心。</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2.本次采购主要内容包括：</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次采购3部电梯所需电梯全部设备、材料、随设备的备品配件及专用工具，运抵采购人工地现场，负责安装、调试，直至采购人所在地质量监督部门验收合格，获得质量监督部门发给的使用许可证，交付采购人使用，即交钥匙项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（2）包含井道吊钩整改（如需）、井道密封（如需）、门洞改造（如需）等。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（3）本次采购的垂直电梯，要求为未使用过的全新产品。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（4）电梯设备采购、运输（含装卸）、安装、装修（含轿厢装修、轿门装修、厅门装修）、调试、验收、不低于5年质保及2年免费维保、培训及其它相关服务。</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所投产品需遵循国家、行业及地方现行的规范和标准，满足招标文件产品标准和规范要求及《特种设备安全监察条例》最新、《电梯检验规则》最新的要求，同时应达到下列标准和规范最新版本的要求：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1.《电梯制造与安装安全规范 第1部分：乘客电梯和载货电梯》( GB/T 7588.1-2020)；</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2.《电梯、自动扶梯和自动人行道术语》(GB/T 7024-2025)；</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3.《电梯主参数及轿厢、井道、机房的型式与尺寸 第1部分:Ⅰ、Ⅱ、Ⅲ、Ⅵ类电梯》(GB/T 7025.1-2023)；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4.《电梯技术条件》(GB/T10058-2023)；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5.《电梯试验方法》(GB/T10059-2023)；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6.《电梯安装验收规范》(GB10060-2023)；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7.《电梯工程施工质量验收规范》(GB50310)；</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8.《电梯用钢丝绳》(GB8903-2024)；</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9.《电梯曳引机》(GB/T 24478-2023)；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10.《交流电梯电动机通用技术条件 第2部分：永磁同步电动机》(GB/T 12974.2-2023)；</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11.《电梯层门耐火试验方法》(GB109)；</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12.《电梯T型导轨》(GB/T 22562-2008)；</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13.其它现行的、应遵循的规范、标准、文件等。</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招标文件涉及标准中未标年号的一律采用最新的标准；随着标准的修订，以修订后的最新标准为依据。</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845"/>
        <w:tblW w:w="5028"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0"/>
        <w:gridCol w:w="1796"/>
        <w:gridCol w:w="753"/>
        <w:gridCol w:w="720"/>
        <w:gridCol w:w="1097"/>
        <w:gridCol w:w="1241"/>
        <w:gridCol w:w="1071"/>
        <w:gridCol w:w="1245"/>
        <w:gridCol w:w="1324"/>
      </w:tblGrid>
      <w:tr>
        <w:trPr>
          <w:jc w:val="center"/>
          <w:trHeight w:val="470"/>
        </w:trPr>
        <w:tc>
          <w:tcPr>
            <w:tcW w:w="56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79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分项名称</w:t>
            </w:r>
            <w:r/>
          </w:p>
        </w:tc>
        <w:tc>
          <w:tcPr>
            <w:tcW w:w="75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71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W w:w="109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单价上限</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（元）</w:t>
            </w:r>
            <w:r/>
          </w:p>
        </w:tc>
        <w:tc>
          <w:tcPr>
            <w:tcW w:w="12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产品类型</w:t>
            </w:r>
            <w:r/>
          </w:p>
        </w:tc>
        <w:tc>
          <w:tcPr>
            <w:tcW w:w="106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所属行业</w:t>
            </w:r>
            <w:r/>
          </w:p>
        </w:tc>
        <w:tc>
          <w:tcPr>
            <w:tcW w:w="124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属性</w:t>
            </w:r>
            <w:r/>
          </w:p>
        </w:tc>
        <w:tc>
          <w:tcPr>
            <w:tcW w:w="132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政府强制采购节能产品</w:t>
            </w:r>
            <w:r/>
          </w:p>
        </w:tc>
      </w:tr>
      <w:tr>
        <w:trPr>
          <w:jc w:val="center"/>
          <w:trHeight w:val="414"/>
        </w:trPr>
        <w:tc>
          <w:tcPr>
            <w:tcW w:w="56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1793"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无</w:t>
            </w:r>
            <w:r>
              <w:rPr>
                <w:rFonts w:hint="eastAsia" w:ascii="宋体" w:hAnsi="宋体" w:eastAsia="宋体" w:cs="宋体"/>
                <w:b w:val="0"/>
                <w:bCs w:val="0"/>
                <w:sz w:val="24"/>
                <w:szCs w:val="24"/>
              </w:rPr>
              <w:t xml:space="preserve">机房</w:t>
            </w:r>
            <w:r>
              <w:rPr>
                <w:rFonts w:hint="eastAsia" w:ascii="宋体" w:hAnsi="宋体" w:eastAsia="宋体" w:cs="宋体"/>
                <w:b w:val="0"/>
                <w:bCs w:val="0"/>
                <w:sz w:val="24"/>
                <w:szCs w:val="24"/>
                <w:lang w:val="en-US" w:eastAsia="zh-CN"/>
              </w:rPr>
              <w:t xml:space="preserve">无障碍</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消防</w:t>
            </w:r>
            <w:r>
              <w:rPr>
                <w:rFonts w:hint="eastAsia" w:ascii="宋体" w:hAnsi="宋体" w:eastAsia="宋体" w:cs="宋体"/>
                <w:b w:val="0"/>
                <w:bCs w:val="0"/>
                <w:sz w:val="24"/>
                <w:szCs w:val="24"/>
              </w:rPr>
              <w:t xml:space="preserve">客梯</w:t>
            </w:r>
            <w:r/>
          </w:p>
        </w:tc>
        <w:tc>
          <w:tcPr>
            <w:tcW w:w="752" w:type="dxa"/>
            <w:vAlign w:val="center"/>
            <w:textDirection w:val="lrTb"/>
            <w:noWrap w:val="false"/>
          </w:tcPr>
          <w:p>
            <w:pPr>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1</w:t>
            </w:r>
            <w:r/>
          </w:p>
        </w:tc>
        <w:tc>
          <w:tcPr>
            <w:tcW w:w="71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tcW w:w="1095"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27</w:t>
            </w:r>
            <w:r>
              <w:rPr>
                <w:rFonts w:hint="eastAsia" w:ascii="宋体" w:hAnsi="宋体" w:eastAsia="宋体" w:cs="宋体"/>
                <w:b w:val="0"/>
                <w:bCs w:val="0"/>
                <w:sz w:val="24"/>
                <w:szCs w:val="24"/>
              </w:rPr>
              <w:t xml:space="preserve">0000</w:t>
            </w:r>
            <w:r/>
          </w:p>
        </w:tc>
        <w:tc>
          <w:tcPr>
            <w:tcW w:w="123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106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工业</w:t>
            </w:r>
            <w:r/>
          </w:p>
        </w:tc>
        <w:tc>
          <w:tcPr>
            <w:tcW w:w="1243"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货物</w:t>
            </w:r>
            <w:r/>
          </w:p>
        </w:tc>
        <w:tc>
          <w:tcPr>
            <w:tcW w:w="1322" w:type="dxa"/>
            <w:vAlign w:val="center"/>
            <w:textDirection w:val="lrTb"/>
            <w:noWrap w:val="false"/>
          </w:tcPr>
          <w:p>
            <w:pPr>
              <w:jc w:val="cente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否</w:t>
            </w:r>
            <w:r/>
          </w:p>
        </w:tc>
      </w:tr>
      <w:tr>
        <w:trPr>
          <w:jc w:val="center"/>
          <w:trHeight w:val="589"/>
        </w:trPr>
        <w:tc>
          <w:tcPr>
            <w:tcW w:w="56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p>
        </w:tc>
        <w:tc>
          <w:tcPr>
            <w:tcW w:w="1793"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无</w:t>
            </w:r>
            <w:r>
              <w:rPr>
                <w:rFonts w:hint="eastAsia" w:ascii="宋体" w:hAnsi="宋体" w:eastAsia="宋体" w:cs="宋体"/>
                <w:b w:val="0"/>
                <w:bCs w:val="0"/>
                <w:sz w:val="24"/>
                <w:szCs w:val="24"/>
              </w:rPr>
              <w:t xml:space="preserve">机房</w:t>
            </w:r>
            <w:r>
              <w:rPr>
                <w:rFonts w:hint="eastAsia" w:ascii="宋体" w:hAnsi="宋体" w:eastAsia="宋体" w:cs="宋体"/>
                <w:b w:val="0"/>
                <w:bCs w:val="0"/>
                <w:sz w:val="24"/>
                <w:szCs w:val="24"/>
                <w:lang w:val="en-US" w:eastAsia="zh-CN"/>
              </w:rPr>
              <w:t xml:space="preserve">无障碍</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客梯</w:t>
            </w:r>
            <w:r/>
          </w:p>
        </w:tc>
        <w:tc>
          <w:tcPr>
            <w:tcW w:w="752"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W w:w="71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tcW w:w="1095"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290000</w:t>
            </w:r>
            <w:r/>
          </w:p>
        </w:tc>
        <w:tc>
          <w:tcPr>
            <w:tcW w:w="123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r>
            <w:r/>
          </w:p>
        </w:tc>
        <w:tc>
          <w:tcPr>
            <w:tcW w:w="106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工业</w:t>
            </w:r>
            <w:r/>
          </w:p>
        </w:tc>
        <w:tc>
          <w:tcPr>
            <w:tcW w:w="1243"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货物</w:t>
            </w:r>
            <w:r/>
          </w:p>
        </w:tc>
        <w:tc>
          <w:tcPr>
            <w:tcW w:w="1322"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否</w:t>
            </w:r>
            <w:r/>
          </w:p>
        </w:tc>
      </w:tr>
      <w:tr>
        <w:trPr>
          <w:jc w:val="center"/>
          <w:trHeight w:val="414"/>
        </w:trPr>
        <w:tc>
          <w:tcPr>
            <w:tcW w:w="56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p>
        </w:tc>
        <w:tc>
          <w:tcPr>
            <w:tcW w:w="1793"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无</w:t>
            </w:r>
            <w:r>
              <w:rPr>
                <w:rFonts w:hint="eastAsia" w:ascii="宋体" w:hAnsi="宋体" w:eastAsia="宋体" w:cs="宋体"/>
                <w:b w:val="0"/>
                <w:bCs w:val="0"/>
                <w:sz w:val="24"/>
                <w:szCs w:val="24"/>
              </w:rPr>
              <w:t xml:space="preserve">机房</w:t>
            </w:r>
            <w:r>
              <w:rPr>
                <w:rFonts w:hint="eastAsia" w:ascii="宋体" w:hAnsi="宋体" w:eastAsia="宋体" w:cs="宋体"/>
                <w:b w:val="0"/>
                <w:bCs w:val="0"/>
                <w:sz w:val="24"/>
                <w:szCs w:val="24"/>
                <w:lang w:val="en-US" w:eastAsia="zh-CN"/>
              </w:rPr>
              <w:t xml:space="preserve">无障碍</w:t>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消防</w:t>
            </w:r>
            <w:r>
              <w:rPr>
                <w:rFonts w:hint="eastAsia" w:ascii="宋体" w:hAnsi="宋体" w:eastAsia="宋体" w:cs="宋体"/>
                <w:b w:val="0"/>
                <w:bCs w:val="0"/>
                <w:sz w:val="24"/>
                <w:szCs w:val="24"/>
              </w:rPr>
              <w:t xml:space="preserve">客梯</w:t>
            </w:r>
            <w:r/>
          </w:p>
        </w:tc>
        <w:tc>
          <w:tcPr>
            <w:tcW w:w="752"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W w:w="719"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台</w:t>
            </w:r>
            <w:r/>
          </w:p>
        </w:tc>
        <w:tc>
          <w:tcPr>
            <w:tcW w:w="1095"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290000</w:t>
            </w:r>
            <w:r/>
          </w:p>
        </w:tc>
        <w:tc>
          <w:tcPr>
            <w:tcW w:w="123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核心产品</w:t>
            </w:r>
            <w:r/>
          </w:p>
        </w:tc>
        <w:tc>
          <w:tcPr>
            <w:tcW w:w="1069"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工业</w:t>
            </w:r>
            <w:r/>
          </w:p>
        </w:tc>
        <w:tc>
          <w:tcPr>
            <w:tcW w:w="1243" w:type="dxa"/>
            <w:vAlign w:val="center"/>
            <w:textDirection w:val="lrTb"/>
            <w:noWrap w:val="false"/>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货物</w:t>
            </w:r>
            <w:r/>
          </w:p>
        </w:tc>
        <w:tc>
          <w:tcPr>
            <w:tcW w:w="1322" w:type="dxa"/>
            <w:vAlign w:val="center"/>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bCs/>
          <w:color w:val="000000"/>
          <w:sz w:val="24"/>
          <w:szCs w:val="24"/>
          <w:lang w:val="en-US" w:eastAsia="zh-CN"/>
        </w:rPr>
        <w:t xml:space="preserve">1.产品技术指标</w:t>
      </w:r>
      <w:r/>
    </w:p>
    <w:tbl>
      <w:tblPr>
        <w:tblStyle w:val="845"/>
        <w:tblW w:w="990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7"/>
        <w:gridCol w:w="699"/>
        <w:gridCol w:w="756"/>
        <w:gridCol w:w="733"/>
        <w:gridCol w:w="760"/>
        <w:gridCol w:w="2035"/>
        <w:gridCol w:w="2035"/>
        <w:gridCol w:w="2156"/>
      </w:tblGrid>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产品</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名称</w:t>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restart"/>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技术品目号</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技术参数不低于以下要求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无机房无障碍</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消防客梯</w:t>
            </w:r>
            <w:r>
              <w:rPr>
                <w:rStyle w:val="1146"/>
                <w:rFonts w:hint="eastAsia" w:ascii="Times New Roman" w:hAnsi="Times New Roman" w:eastAsia="宋体" w:cs="Times New Roman"/>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无机房无障碍</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客梯</w:t>
            </w:r>
            <w:r>
              <w:rPr>
                <w:rStyle w:val="1146"/>
                <w:rFonts w:hint="eastAsia" w:ascii="Times New Roman" w:hAnsi="Times New Roman" w:eastAsia="宋体" w:cs="Times New Roman"/>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无机房无障碍</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消防客梯</w:t>
            </w:r>
            <w:r>
              <w:rPr>
                <w:rStyle w:val="1146"/>
                <w:rFonts w:hint="eastAsia" w:ascii="Times New Roman" w:hAnsi="Times New Roman" w:eastAsia="宋体" w:cs="Times New Roman"/>
                <w:sz w:val="24"/>
                <w:szCs w:val="24"/>
                <w:lang w:val="en-US" w:eastAsia="zh-CN" w:bidi="ar"/>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客梯</w:t>
            </w:r>
            <w:r/>
          </w:p>
        </w:tc>
        <w:tc>
          <w:tcPr>
            <w:tcBorders>
              <w:top w:val="single" w:color="000000" w:sz="4" w:space="0"/>
              <w:left w:val="single" w:color="000000" w:sz="4" w:space="0"/>
              <w:right w:val="single" w:color="000000" w:sz="4" w:space="0"/>
            </w:tcBorders>
            <w:tcW w:w="699" w:type="dxa"/>
            <w:vAlign w:val="center"/>
            <w:vMerge w:val="restart"/>
            <w:textDirection w:val="lrTb"/>
            <w:noWrap w:val="false"/>
          </w:tcPr>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建筑尺寸</w:t>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Style w:val="1147"/>
                <w:rFonts w:hint="default"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井道尺寸（</w:t>
            </w:r>
            <w:r>
              <w:rPr>
                <w:rStyle w:val="1146"/>
                <w:rFonts w:hint="eastAsia" w:ascii="Times New Roman" w:hAnsi="Times New Roman" w:eastAsia="宋体" w:cs="Times New Roman"/>
                <w:sz w:val="24"/>
                <w:szCs w:val="24"/>
                <w:lang w:val="en-US" w:eastAsia="zh-CN" w:bidi="ar"/>
              </w:rPr>
              <w:t xml:space="preserve">mm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p>
          <w:p>
            <w:pPr>
              <w:ind w:firstLine="0"/>
              <w:jc w:val="center"/>
              <w:keepLines w:val="0"/>
              <w:keepNext w:val="0"/>
              <w:pageBreakBefore w:val="0"/>
              <w:spacing w:line="240" w:lineRule="auto"/>
              <w:widowControl/>
              <w:rPr>
                <w:rFonts w:hint="default" w:ascii="Times New Roman" w:hAnsi="Times New Roman" w:eastAsia="宋体" w:cs="Times New Roman"/>
                <w:i w:val="0"/>
                <w:iCs w:val="0"/>
                <w:color w:val="auto"/>
                <w:sz w:val="24"/>
                <w:szCs w:val="24"/>
                <w:u w:val="none"/>
                <w:lang w:val="en-US" w:eastAsia="zh-CN" w:bidi="ar"/>
              </w:rPr>
              <w:suppressLineNumbers w:val="0"/>
            </w:pPr>
            <w:r>
              <w:rPr>
                <w:rFonts w:hint="eastAsia" w:cs="Times New Roman"/>
                <w:i w:val="0"/>
                <w:iCs w:val="0"/>
                <w:color w:val="auto"/>
                <w:sz w:val="24"/>
                <w:szCs w:val="24"/>
                <w:u w:val="none"/>
                <w:lang w:val="en-US" w:eastAsia="zh-CN" w:bidi="ar"/>
              </w:rPr>
              <w:t xml:space="preserve">2400*2500</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p>
          <w:p>
            <w:pPr>
              <w:ind w:firstLine="0"/>
              <w:jc w:val="center"/>
              <w:keepLines w:val="0"/>
              <w:keepNext w:val="0"/>
              <w:pageBreakBefore w:val="0"/>
              <w:spacing w:line="240" w:lineRule="auto"/>
              <w:widowControl/>
              <w:rPr>
                <w:rFonts w:hint="default" w:ascii="Times New Roman" w:hAnsi="Times New Roman" w:eastAsia="宋体" w:cs="Times New Roman"/>
                <w:i w:val="0"/>
                <w:iCs w:val="0"/>
                <w:color w:val="auto"/>
                <w:sz w:val="24"/>
                <w:szCs w:val="24"/>
                <w:u w:val="none"/>
                <w:lang w:val="en-US" w:eastAsia="zh-CN" w:bidi="ar"/>
              </w:rPr>
              <w:suppressLineNumbers w:val="0"/>
            </w:pPr>
            <w:r>
              <w:rPr>
                <w:rFonts w:hint="eastAsia" w:cs="Times New Roman"/>
                <w:i w:val="0"/>
                <w:iCs w:val="0"/>
                <w:color w:val="auto"/>
                <w:sz w:val="24"/>
                <w:szCs w:val="24"/>
                <w:u w:val="none"/>
                <w:lang w:val="en-US" w:eastAsia="zh-CN" w:bidi="ar"/>
              </w:rPr>
              <w:t xml:space="preserve">2400*2400</w:t>
            </w:r>
            <w:r/>
          </w:p>
        </w:tc>
        <w:tc>
          <w:tcPr>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p>
          <w:p>
            <w:pPr>
              <w:ind w:firstLine="0"/>
              <w:jc w:val="center"/>
              <w:keepLines w:val="0"/>
              <w:keepNext w:val="0"/>
              <w:pageBreakBefore w:val="0"/>
              <w:spacing w:line="240" w:lineRule="auto"/>
              <w:widowControl/>
              <w:rPr>
                <w:rFonts w:hint="default" w:ascii="Times New Roman" w:hAnsi="Times New Roman" w:eastAsia="宋体" w:cs="Times New Roman"/>
                <w:i w:val="0"/>
                <w:iCs w:val="0"/>
                <w:color w:val="auto"/>
                <w:sz w:val="24"/>
                <w:szCs w:val="24"/>
                <w:u w:val="none"/>
                <w:lang w:val="en-US" w:eastAsia="zh-CN" w:bidi="ar"/>
              </w:rPr>
              <w:suppressLineNumbers w:val="0"/>
            </w:pPr>
            <w:r>
              <w:rPr>
                <w:rFonts w:hint="eastAsia" w:cs="Times New Roman"/>
                <w:i w:val="0"/>
                <w:iCs w:val="0"/>
                <w:color w:val="auto"/>
                <w:sz w:val="24"/>
                <w:szCs w:val="24"/>
                <w:u w:val="none"/>
                <w:lang w:val="en-US" w:eastAsia="zh-CN" w:bidi="ar"/>
              </w:rPr>
              <w:t xml:space="preserve">2500*2600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left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厅门尺寸（</w:t>
            </w:r>
            <w:r>
              <w:rPr>
                <w:rStyle w:val="1146"/>
                <w:rFonts w:hint="eastAsia" w:ascii="Times New Roman" w:hAnsi="Times New Roman" w:eastAsia="宋体" w:cs="Times New Roman"/>
                <w:sz w:val="24"/>
                <w:szCs w:val="24"/>
                <w:lang w:val="en-US" w:eastAsia="zh-CN" w:bidi="ar"/>
              </w:rPr>
              <w:t xml:space="preserve">mm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高</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宽</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2200*1100</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高</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宽</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2200*1100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高</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宽</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2200*1100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left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轿厢尺寸（</w:t>
            </w:r>
            <w:r>
              <w:rPr>
                <w:rStyle w:val="1146"/>
                <w:rFonts w:hint="eastAsia" w:ascii="Times New Roman" w:hAnsi="Times New Roman" w:eastAsia="宋体" w:cs="Times New Roman"/>
                <w:sz w:val="24"/>
                <w:szCs w:val="24"/>
                <w:lang w:val="en-US" w:eastAsia="zh-CN" w:bidi="ar"/>
              </w:rPr>
              <w:t xml:space="preserve">mm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高</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1600*1500*2600</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高</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1600*1500*2600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center"/>
              <w:keepLines w:val="0"/>
              <w:keepNext w:val="0"/>
              <w:pageBreakBefore w:val="0"/>
              <w:spacing w:line="240" w:lineRule="auto"/>
              <w:widowControl/>
              <w:rPr>
                <w:rStyle w:val="1147"/>
                <w:rFonts w:hint="eastAsia" w:ascii="Times New Roman" w:hAnsi="Times New Roman" w:eastAsia="宋体" w:cs="Times New Roman"/>
                <w:color w:val="auto"/>
                <w:sz w:val="24"/>
                <w:szCs w:val="24"/>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宽</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深</w:t>
            </w:r>
            <w:r>
              <w:rPr>
                <w:rStyle w:val="1146"/>
                <w:rFonts w:hint="eastAsia" w:ascii="Times New Roman" w:hAnsi="Times New Roman" w:eastAsia="宋体" w:cs="Times New Roman"/>
                <w:color w:val="auto"/>
                <w:sz w:val="24"/>
                <w:szCs w:val="24"/>
                <w:lang w:val="en-US" w:eastAsia="zh-CN" w:bidi="ar"/>
              </w:rPr>
              <w:t xml:space="preserve">*</w:t>
            </w:r>
            <w:r>
              <w:rPr>
                <w:rStyle w:val="1147"/>
                <w:rFonts w:hint="eastAsia" w:ascii="Times New Roman" w:hAnsi="Times New Roman" w:eastAsia="宋体" w:cs="Times New Roman"/>
                <w:color w:val="auto"/>
                <w:sz w:val="24"/>
                <w:szCs w:val="24"/>
                <w:lang w:val="en-US" w:eastAsia="zh-CN" w:bidi="ar"/>
              </w:rPr>
              <w:t xml:space="preserve">高</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1600*1500*2600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left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顶层高度（</w:t>
            </w:r>
            <w:r>
              <w:rPr>
                <w:rStyle w:val="1146"/>
                <w:rFonts w:hint="eastAsia" w:ascii="Times New Roman" w:hAnsi="Times New Roman" w:eastAsia="宋体" w:cs="Times New Roman"/>
                <w:sz w:val="24"/>
                <w:szCs w:val="24"/>
                <w:lang w:val="en-US" w:eastAsia="zh-CN" w:bidi="ar"/>
              </w:rPr>
              <w:t xml:space="preserve">mm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4650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4700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left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底坑深度（</w:t>
            </w:r>
            <w:r>
              <w:rPr>
                <w:rStyle w:val="1146"/>
                <w:rFonts w:hint="eastAsia" w:ascii="Times New Roman" w:hAnsi="Times New Roman" w:eastAsia="宋体" w:cs="Times New Roman"/>
                <w:sz w:val="24"/>
                <w:szCs w:val="24"/>
                <w:lang w:val="en-US" w:eastAsia="zh-CN" w:bidi="ar"/>
              </w:rPr>
              <w:t xml:space="preserve">mm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1600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left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提升高度（</w:t>
            </w:r>
            <w:r>
              <w:rPr>
                <w:rStyle w:val="1146"/>
                <w:rFonts w:hint="eastAsia" w:ascii="Times New Roman" w:hAnsi="Times New Roman" w:eastAsia="宋体" w:cs="Times New Roman"/>
                <w:sz w:val="24"/>
                <w:szCs w:val="24"/>
                <w:lang w:val="en-US" w:eastAsia="zh-CN" w:bidi="ar"/>
              </w:rPr>
              <w:t xml:space="preserve">m</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12.450</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21.150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21.150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p>
          <w:p>
            <w:pPr>
              <w:ind w:left="0" w:right="0"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配置</w:t>
            </w:r>
            <w:r/>
          </w:p>
          <w:p>
            <w:pPr>
              <w:ind w:left="0" w:right="0"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要求</w:t>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载重（</w:t>
            </w:r>
            <w:r>
              <w:rPr>
                <w:rStyle w:val="1146"/>
                <w:rFonts w:hint="eastAsia" w:ascii="Times New Roman" w:hAnsi="Times New Roman" w:eastAsia="宋体" w:cs="Times New Roman"/>
                <w:sz w:val="24"/>
                <w:szCs w:val="24"/>
                <w:lang w:val="en-US" w:eastAsia="zh-CN" w:bidi="ar"/>
              </w:rPr>
              <w:t xml:space="preserve">kg</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w:t>
            </w:r>
            <w:r>
              <w:rPr>
                <w:rStyle w:val="1146"/>
                <w:rFonts w:hint="eastAsia" w:ascii="Times New Roman" w:hAnsi="Times New Roman" w:eastAsia="宋体" w:cs="Times New Roman"/>
                <w:color w:val="auto"/>
                <w:sz w:val="24"/>
                <w:szCs w:val="24"/>
                <w:lang w:val="en-US" w:eastAsia="zh-CN" w:bidi="ar"/>
              </w:rPr>
              <w:t xml:space="preserve">1050</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≥1050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≥1050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速度（</w:t>
            </w:r>
            <w:r>
              <w:rPr>
                <w:rStyle w:val="1146"/>
                <w:rFonts w:hint="eastAsia" w:ascii="Times New Roman" w:hAnsi="Times New Roman" w:eastAsia="宋体" w:cs="Times New Roman"/>
                <w:sz w:val="24"/>
                <w:szCs w:val="24"/>
                <w:lang w:val="en-US" w:eastAsia="zh-CN" w:bidi="ar"/>
              </w:rPr>
              <w:t xml:space="preserve">m/s</w:t>
            </w:r>
            <w:r>
              <w:rPr>
                <w:rStyle w:val="1147"/>
                <w:rFonts w:hint="eastAsia" w:ascii="Times New Roman" w:hAnsi="Times New Roman" w:eastAsia="宋体" w:cs="Times New Roman"/>
                <w:sz w:val="24"/>
                <w:szCs w:val="24"/>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w:t>
            </w:r>
            <w:r>
              <w:rPr>
                <w:rStyle w:val="1146"/>
                <w:rFonts w:hint="eastAsia" w:ascii="Times New Roman" w:hAnsi="Times New Roman" w:eastAsia="宋体" w:cs="Times New Roman"/>
                <w:color w:val="auto"/>
                <w:sz w:val="24"/>
                <w:szCs w:val="24"/>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w:t>
            </w:r>
            <w:r>
              <w:rPr>
                <w:rStyle w:val="1146"/>
                <w:rFonts w:hint="eastAsia" w:ascii="Times New Roman" w:hAnsi="Times New Roman" w:eastAsia="宋体" w:cs="Times New Roman"/>
                <w:color w:val="auto"/>
                <w:sz w:val="24"/>
                <w:szCs w:val="24"/>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w:t>
            </w:r>
            <w:r>
              <w:rPr>
                <w:rStyle w:val="1146"/>
                <w:rFonts w:hint="eastAsia" w:ascii="Times New Roman" w:hAnsi="Times New Roman" w:eastAsia="宋体" w:cs="Times New Roman"/>
                <w:color w:val="auto"/>
                <w:sz w:val="24"/>
                <w:szCs w:val="24"/>
                <w:lang w:val="en-US" w:eastAsia="zh-CN" w:bidi="ar"/>
              </w:rPr>
              <w:t xml:space="preserve">1.0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层站门</w:t>
            </w:r>
            <w:r/>
          </w:p>
        </w:tc>
        <w:tc>
          <w:tcPr>
            <w:tcBorders>
              <w:top w:val="single" w:color="000000" w:sz="4" w:space="0"/>
              <w:left w:val="single" w:color="000000" w:sz="4" w:space="0"/>
              <w:bottom w:val="single" w:color="000000" w:sz="4" w:space="0"/>
              <w:right w:val="single" w:color="000000" w:sz="4" w:space="0"/>
            </w:tcBorders>
            <w:tcW w:w="2035" w:type="dxa"/>
            <w:vAlign w:val="top"/>
            <w:textDirection w:val="lrTb"/>
            <w:noWrap w:val="false"/>
          </w:tcPr>
          <w:p>
            <w:pPr>
              <w:ind w:firstLine="0"/>
              <w:jc w:val="both"/>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4层4站4门</w:t>
            </w:r>
            <w:r/>
          </w:p>
          <w:p>
            <w:pPr>
              <w:ind w:firstLine="0"/>
              <w:jc w:val="both"/>
              <w:keepLines w:val="0"/>
              <w:keepNext w:val="0"/>
              <w:pageBreakBefore w:val="0"/>
              <w:spacing w:line="240" w:lineRule="auto"/>
              <w:widowControl/>
              <w:rPr>
                <w:rFonts w:hint="default" w:ascii="Times New Roman" w:hAnsi="Times New Roman" w:eastAsia="宋体" w:cs="Times New Roman"/>
                <w:i w:val="0"/>
                <w:iCs w:val="0"/>
                <w:color w:val="auto"/>
                <w:sz w:val="24"/>
                <w:szCs w:val="24"/>
                <w:u w:val="none"/>
                <w:lang w:val="en-US"/>
              </w:rPr>
              <w:suppressLineNumbers w:val="0"/>
            </w:pPr>
            <w:r>
              <w:rPr>
                <w:rFonts w:hint="eastAsia" w:cs="Times New Roman"/>
                <w:i w:val="0"/>
                <w:iCs w:val="0"/>
                <w:color w:val="auto"/>
                <w:sz w:val="24"/>
                <w:szCs w:val="24"/>
                <w:u w:val="none"/>
                <w:lang w:val="en-US" w:eastAsia="zh-CN" w:bidi="ar"/>
              </w:rPr>
              <w:t xml:space="preserve">贯穿门，负三层至负一层层门在一侧，一层层门在另一侧。</w:t>
            </w:r>
            <w:r/>
          </w:p>
        </w:tc>
        <w:tc>
          <w:tcPr>
            <w:shd w:val="clear" w:color="auto" w:fill="ffffff"/>
            <w:tcBorders>
              <w:top w:val="single" w:color="000000" w:sz="4" w:space="0"/>
              <w:left w:val="single" w:color="000000" w:sz="4" w:space="0"/>
              <w:bottom w:val="single" w:color="000000" w:sz="4" w:space="0"/>
              <w:right w:val="single" w:color="000000" w:sz="4" w:space="0"/>
            </w:tcBorders>
            <w:tcW w:w="2035" w:type="dxa"/>
            <w:vAlign w:val="top"/>
            <w:textDirection w:val="lrTb"/>
            <w:noWrap w:val="false"/>
          </w:tcPr>
          <w:p>
            <w:pPr>
              <w:ind w:firstLine="0"/>
              <w:jc w:val="both"/>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6层6站6门</w:t>
            </w:r>
            <w:r/>
          </w:p>
        </w:tc>
        <w:tc>
          <w:tcPr>
            <w:shd w:val="clear" w:color="auto" w:fill="ffffff"/>
            <w:tcBorders>
              <w:top w:val="single" w:color="000000" w:sz="4" w:space="0"/>
              <w:left w:val="single" w:color="000000" w:sz="4" w:space="0"/>
              <w:bottom w:val="single" w:color="000000" w:sz="4" w:space="0"/>
              <w:right w:val="single" w:color="000000" w:sz="4" w:space="0"/>
            </w:tcBorders>
            <w:tcW w:w="2156" w:type="dxa"/>
            <w:vAlign w:val="top"/>
            <w:textDirection w:val="lrTb"/>
            <w:noWrap w:val="false"/>
          </w:tcPr>
          <w:p>
            <w:pPr>
              <w:ind w:firstLine="0"/>
              <w:jc w:val="both"/>
              <w:keepLines w:val="0"/>
              <w:keepNext w:val="0"/>
              <w:pageBreakBefore w:val="0"/>
              <w:spacing w:line="240" w:lineRule="auto"/>
              <w:widowControl/>
              <w:rPr>
                <w:rFonts w:hint="eastAsia" w:ascii="Times New Roman" w:hAnsi="Times New Roman" w:eastAsia="宋体" w:cs="Times New Roman"/>
                <w:i w:val="0"/>
                <w:iCs w:val="0"/>
                <w:color w:val="auto"/>
                <w:sz w:val="24"/>
                <w:szCs w:val="24"/>
                <w:u w:val="none"/>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6层6站6门</w:t>
            </w:r>
            <w:r/>
          </w:p>
          <w:p>
            <w:pPr>
              <w:ind w:firstLine="0"/>
              <w:jc w:val="both"/>
              <w:keepLines w:val="0"/>
              <w:keepNext w:val="0"/>
              <w:pageBreakBefore w:val="0"/>
              <w:spacing w:line="240" w:lineRule="auto"/>
              <w:widowControl/>
              <w:rPr>
                <w:rFonts w:hint="default" w:ascii="Times New Roman" w:hAnsi="Times New Roman" w:eastAsia="宋体" w:cs="Times New Roman"/>
                <w:i w:val="0"/>
                <w:iCs w:val="0"/>
                <w:color w:val="auto"/>
                <w:sz w:val="24"/>
                <w:szCs w:val="24"/>
                <w:u w:val="none"/>
                <w:lang w:val="en-US" w:eastAsia="zh-CN" w:bidi="ar"/>
              </w:rPr>
              <w:suppressLineNumbers w:val="0"/>
            </w:pPr>
            <w:r>
              <w:rPr>
                <w:rFonts w:hint="eastAsia" w:cs="Times New Roman"/>
                <w:i w:val="0"/>
                <w:iCs w:val="0"/>
                <w:color w:val="auto"/>
                <w:sz w:val="24"/>
                <w:szCs w:val="24"/>
                <w:u w:val="none"/>
                <w:lang w:val="en-US" w:eastAsia="zh-CN" w:bidi="ar"/>
              </w:rPr>
              <w:t xml:space="preserve">贯穿门，负三层、负二层、负一层、二层、三层层门在一侧，一层层门在另一侧。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驱动方式</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全电脑控制交流变频变压调速</w:t>
            </w:r>
            <w:r>
              <w:rPr>
                <w:rStyle w:val="1146"/>
                <w:rFonts w:hint="eastAsia" w:ascii="Times New Roman" w:hAnsi="Times New Roman" w:eastAsia="宋体" w:cs="Times New Roman"/>
                <w:sz w:val="24"/>
                <w:szCs w:val="24"/>
                <w:lang w:val="en-US" w:eastAsia="zh-CN" w:bidi="ar"/>
              </w:rPr>
              <w:t xml:space="preserve">（VVVF）</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传动方式</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永磁同步无齿轮曳引机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门机系统</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变频门机，齿带传动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开门方式</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双扇自动中分门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门保护装置</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光幕，不小于</w:t>
            </w:r>
            <w:r>
              <w:rPr>
                <w:rStyle w:val="1146"/>
                <w:rFonts w:hint="eastAsia" w:ascii="Times New Roman" w:hAnsi="Times New Roman" w:eastAsia="宋体" w:cs="Times New Roman"/>
                <w:sz w:val="24"/>
                <w:szCs w:val="24"/>
                <w:lang w:val="en-US" w:eastAsia="zh-CN" w:bidi="ar"/>
              </w:rPr>
              <w:t xml:space="preserve">128</w:t>
            </w:r>
            <w:r>
              <w:rPr>
                <w:rStyle w:val="1147"/>
                <w:rFonts w:hint="eastAsia" w:ascii="Times New Roman" w:hAnsi="Times New Roman" w:eastAsia="宋体" w:cs="Times New Roman"/>
                <w:sz w:val="24"/>
                <w:szCs w:val="24"/>
                <w:lang w:val="en-US" w:eastAsia="zh-CN" w:bidi="ar"/>
              </w:rPr>
              <w:t xml:space="preserve">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轨道</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实心钢制</w:t>
            </w:r>
            <w:r>
              <w:rPr>
                <w:rStyle w:val="1146"/>
                <w:rFonts w:hint="eastAsia" w:ascii="Times New Roman" w:hAnsi="Times New Roman" w:eastAsia="宋体" w:cs="Times New Roman"/>
                <w:sz w:val="24"/>
                <w:szCs w:val="24"/>
                <w:lang w:val="en-US" w:eastAsia="zh-CN" w:bidi="ar"/>
              </w:rPr>
              <w:t xml:space="preserve">T</w:t>
            </w:r>
            <w:r>
              <w:rPr>
                <w:rStyle w:val="1147"/>
                <w:rFonts w:hint="eastAsia" w:ascii="Times New Roman" w:hAnsi="Times New Roman" w:eastAsia="宋体" w:cs="Times New Roman"/>
                <w:sz w:val="24"/>
                <w:szCs w:val="24"/>
                <w:lang w:val="en-US" w:eastAsia="zh-CN" w:bidi="ar"/>
              </w:rPr>
              <w:t xml:space="preserve">型轨道</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导靴</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滑动导靴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电源适应</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拖动电源：交流三相五线</w:t>
            </w:r>
            <w:r>
              <w:rPr>
                <w:rStyle w:val="1146"/>
                <w:rFonts w:hint="eastAsia" w:ascii="Times New Roman" w:hAnsi="Times New Roman" w:eastAsia="宋体" w:cs="Times New Roman"/>
                <w:sz w:val="24"/>
                <w:szCs w:val="24"/>
                <w:lang w:val="en-US" w:eastAsia="zh-CN" w:bidi="ar"/>
              </w:rPr>
              <w:t xml:space="preserve">380V</w:t>
            </w:r>
            <w:r>
              <w:rPr>
                <w:rStyle w:val="1147"/>
                <w:rFonts w:hint="eastAsia" w:ascii="Times New Roman" w:hAnsi="Times New Roman" w:eastAsia="宋体" w:cs="Times New Roman"/>
                <w:sz w:val="24"/>
                <w:szCs w:val="24"/>
                <w:lang w:val="en-US" w:eastAsia="zh-CN" w:bidi="ar"/>
              </w:rPr>
              <w:t xml:space="preserve">±</w:t>
            </w:r>
            <w:r>
              <w:rPr>
                <w:rStyle w:val="1146"/>
                <w:rFonts w:hint="eastAsia" w:ascii="Times New Roman" w:hAnsi="Times New Roman" w:eastAsia="宋体" w:cs="Times New Roman"/>
                <w:sz w:val="24"/>
                <w:szCs w:val="24"/>
                <w:lang w:val="en-US" w:eastAsia="zh-CN" w:bidi="ar"/>
              </w:rPr>
              <w:t xml:space="preserve">7%  50Hz</w:t>
            </w:r>
            <w:r>
              <w:rPr>
                <w:rStyle w:val="1147"/>
                <w:rFonts w:hint="eastAsia" w:ascii="Times New Roman" w:hAnsi="Times New Roman" w:eastAsia="宋体" w:cs="Times New Roman"/>
                <w:sz w:val="24"/>
                <w:szCs w:val="24"/>
                <w:lang w:val="en-US" w:eastAsia="zh-CN" w:bidi="ar"/>
              </w:rPr>
              <w:t xml:space="preserve">；</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照明电源：交流单相</w:t>
            </w:r>
            <w:r>
              <w:rPr>
                <w:rStyle w:val="1146"/>
                <w:rFonts w:hint="eastAsia" w:ascii="Times New Roman" w:hAnsi="Times New Roman" w:eastAsia="宋体" w:cs="Times New Roman"/>
                <w:sz w:val="24"/>
                <w:szCs w:val="24"/>
                <w:lang w:val="en-US" w:eastAsia="zh-CN" w:bidi="ar"/>
              </w:rPr>
              <w:t xml:space="preserve">220V</w:t>
            </w:r>
            <w:r>
              <w:rPr>
                <w:rStyle w:val="1147"/>
                <w:rFonts w:hint="eastAsia" w:ascii="Times New Roman" w:hAnsi="Times New Roman" w:eastAsia="宋体" w:cs="Times New Roman"/>
                <w:sz w:val="24"/>
                <w:szCs w:val="24"/>
                <w:lang w:val="en-US" w:eastAsia="zh-CN" w:bidi="ar"/>
              </w:rPr>
              <w:t xml:space="preserve">±</w:t>
            </w:r>
            <w:r>
              <w:rPr>
                <w:rStyle w:val="1146"/>
                <w:rFonts w:hint="eastAsia" w:ascii="Times New Roman" w:hAnsi="Times New Roman" w:eastAsia="宋体" w:cs="Times New Roman"/>
                <w:sz w:val="24"/>
                <w:szCs w:val="24"/>
                <w:lang w:val="en-US" w:eastAsia="zh-CN" w:bidi="ar"/>
              </w:rPr>
              <w:t xml:space="preserve">7%  50Hz</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性能</w:t>
            </w:r>
            <w:r/>
          </w:p>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要求</w:t>
            </w:r>
            <w:r/>
          </w:p>
        </w:tc>
        <w:tc>
          <w:tcPr>
            <w:gridSpan w:val="3"/>
            <w:tcBorders>
              <w:top w:val="single" w:color="000000" w:sz="4" w:space="0"/>
              <w:left w:val="single" w:color="000000" w:sz="4" w:space="0"/>
              <w:bottom w:val="single" w:color="000000" w:sz="4" w:space="0"/>
              <w:right w:val="single" w:color="000000" w:sz="4" w:space="0"/>
            </w:tcBorders>
            <w:tcW w:w="2249" w:type="dxa"/>
            <w:vAlign w:val="top"/>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额定速度</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允许误差</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符合国标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top"/>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乘客电梯轿厢运行时垂直方向和水平方向的振动加速度</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符合国标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平层准确度</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rPr>
                <w:rStyle w:val="1146"/>
                <w:rFonts w:hint="eastAsia" w:ascii="Times New Roman" w:hAnsi="Times New Roman" w:eastAsia="宋体" w:cs="Times New Roman"/>
                <w:sz w:val="24"/>
                <w:szCs w:val="24"/>
                <w:lang w:val="en-US" w:eastAsia="zh-CN" w:bidi="ar"/>
              </w:rPr>
              <w:t xml:space="preserve">5mm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噪声</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符合国标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内外</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装饰</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w:t>
            </w:r>
            <w:r/>
          </w:p>
          <w:p>
            <w:pPr>
              <w:ind w:left="0" w:right="0"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厢</w:t>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轿厢顶</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▲304发纹不锈钢吊顶</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rPr>
                <w:rStyle w:val="1147"/>
                <w:rFonts w:hint="eastAsia" w:ascii="Times New Roman" w:hAnsi="Times New Roman" w:eastAsia="宋体" w:cs="Times New Roman"/>
                <w:sz w:val="24"/>
                <w:szCs w:val="24"/>
                <w:lang w:val="en-US" w:eastAsia="zh-CN" w:bidi="ar"/>
              </w:rPr>
              <w:t xml:space="preserve">，隐藏式横流通风扇，</w:t>
            </w:r>
            <w:r>
              <w:rPr>
                <w:rStyle w:val="1146"/>
                <w:rFonts w:hint="eastAsia" w:ascii="Times New Roman" w:hAnsi="Times New Roman" w:eastAsia="宋体" w:cs="Times New Roman"/>
                <w:sz w:val="24"/>
                <w:szCs w:val="24"/>
                <w:lang w:val="en-US" w:eastAsia="zh-CN" w:bidi="ar"/>
              </w:rPr>
              <w:t xml:space="preserve">LED</w:t>
            </w:r>
            <w:r>
              <w:rPr>
                <w:rStyle w:val="1147"/>
                <w:rFonts w:hint="eastAsia" w:ascii="Times New Roman" w:hAnsi="Times New Roman" w:eastAsia="宋体" w:cs="Times New Roman"/>
                <w:sz w:val="24"/>
                <w:szCs w:val="24"/>
                <w:lang w:val="en-US" w:eastAsia="zh-CN" w:bidi="ar"/>
              </w:rPr>
              <w:t xml:space="preserve">照明，简洁大气</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轿厢壁</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rPr>
                <w:rStyle w:val="1147"/>
                <w:rFonts w:hint="eastAsia" w:ascii="Times New Roman" w:hAnsi="Times New Roman" w:eastAsia="宋体" w:cs="Times New Roman"/>
                <w:sz w:val="24"/>
                <w:szCs w:val="24"/>
                <w:lang w:val="en-US" w:eastAsia="zh-CN" w:bidi="ar"/>
              </w:rPr>
              <w:t xml:space="preserve">。后壁</w:t>
            </w:r>
            <w:r>
              <w:rPr>
                <w:rFonts w:hint="eastAsia" w:ascii="Times New Roman" w:hAnsi="Times New Roman" w:eastAsia="宋体" w:cs="Times New Roman"/>
                <w:i w:val="0"/>
                <w:iCs w:val="0"/>
                <w:color w:val="000000"/>
                <w:sz w:val="24"/>
                <w:szCs w:val="24"/>
                <w:u w:val="none"/>
                <w:lang w:val="en-US" w:eastAsia="zh-CN" w:bidi="ar"/>
              </w:rPr>
              <w:t xml:space="preserve">304发纹不锈钢圆形扶手，且需满足无障碍要求</w:t>
            </w:r>
            <w:r>
              <w:rPr>
                <w:rStyle w:val="1147"/>
                <w:rFonts w:hint="eastAsia" w:ascii="Times New Roman" w:hAnsi="Times New Roman" w:eastAsia="宋体" w:cs="Times New Roman"/>
                <w:sz w:val="24"/>
                <w:szCs w:val="24"/>
                <w:lang w:val="en-US" w:eastAsia="zh-CN" w:bidi="ar"/>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轿厢地面</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304防滑不锈钢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操</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作</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面板材质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显示器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液晶屏带数字显示、层显、方向指示、超载、运行方向</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操作功能</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1）紧急呼叫按钮；2）隐藏式对讲机（五方通话）；3）开关门按钮；4）与停靠楼层同数字、微触式不锈钢带数字楼层按钮。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标示要求</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品牌商标、用途、限乘人数、限载重量、禁烟标志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按钮要求</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圆型不锈钢按钮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▲监控及五方通话对讲</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轿厢监控要求随行电缆自带监控线，提供监控摄像头并安装。五方通话设备、器材由电梯单位提供并完成安装调试。</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厅门及</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门套</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厅门</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小</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门套</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楼</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层</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召</w:t>
            </w:r>
            <w:r/>
          </w:p>
          <w:p>
            <w:pPr>
              <w:ind w:firstLine="0"/>
              <w:jc w:val="center"/>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唤</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显示内容</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液晶显示，显示楼层及运行方向，当电梯处于关闭、暂停服务或维修状态下时，给予乘客明确提示。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面板材质</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304发纹不锈钢材质</w:t>
            </w:r>
            <w:r>
              <w:rPr>
                <w:rStyle w:val="1146"/>
                <w:rFonts w:hint="eastAsia" w:ascii="Times New Roman" w:hAnsi="Times New Roman" w:eastAsia="宋体" w:cs="Times New Roman"/>
                <w:sz w:val="24"/>
                <w:szCs w:val="24"/>
                <w:lang w:val="en-US" w:eastAsia="zh-CN" w:bidi="ar"/>
              </w:rPr>
              <w:t xml:space="preserve">（</w:t>
            </w:r>
            <w:r>
              <w:rPr>
                <w:rStyle w:val="1147"/>
                <w:rFonts w:hint="eastAsia" w:ascii="Times New Roman" w:hAnsi="Times New Roman" w:eastAsia="宋体" w:cs="Times New Roman"/>
                <w:sz w:val="24"/>
                <w:szCs w:val="24"/>
                <w:lang w:val="en-US" w:eastAsia="zh-CN" w:bidi="ar"/>
              </w:rPr>
              <w:t xml:space="preserve">钢板厚度δ</w:t>
            </w:r>
            <w:r>
              <w:rPr>
                <w:rStyle w:val="1146"/>
                <w:rFonts w:hint="eastAsia" w:ascii="Times New Roman" w:hAnsi="Times New Roman" w:eastAsia="宋体" w:cs="Times New Roman"/>
                <w:sz w:val="24"/>
                <w:szCs w:val="24"/>
                <w:lang w:val="en-US" w:eastAsia="zh-CN" w:bidi="ar"/>
              </w:rPr>
              <w:t xml:space="preserve">&gt;1.2mm）</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特殊要求</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56" w:type="dxa"/>
            <w:vAlign w:val="top"/>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地坎</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硬质铝合金</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★无障碍功能</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盲文按钮、残疾人操作盘、后壁扶手、语音报站、后壁镜面不锈钢。电梯门为水平滑动式门，完全开启时间应保持不小于3s。</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★消防电梯要求</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1.</w:t>
            </w:r>
            <w:r>
              <w:rPr>
                <w:rStyle w:val="1147"/>
                <w:rFonts w:hint="eastAsia" w:ascii="Times New Roman" w:hAnsi="Times New Roman" w:eastAsia="宋体" w:cs="Times New Roman"/>
                <w:sz w:val="24"/>
                <w:szCs w:val="24"/>
                <w:lang w:val="en-US" w:eastAsia="zh-CN" w:bidi="ar"/>
              </w:rPr>
              <w:t xml:space="preserve">电梯应每层停靠；</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2.</w:t>
            </w:r>
            <w:r>
              <w:rPr>
                <w:rStyle w:val="1147"/>
                <w:rFonts w:hint="eastAsia" w:ascii="Times New Roman" w:hAnsi="Times New Roman" w:eastAsia="宋体" w:cs="Times New Roman"/>
                <w:sz w:val="24"/>
                <w:szCs w:val="24"/>
                <w:lang w:val="en-US" w:eastAsia="zh-CN" w:bidi="ar"/>
              </w:rPr>
              <w:t xml:space="preserve">电梯的载重量不小于</w:t>
            </w:r>
            <w:r>
              <w:rPr>
                <w:rStyle w:val="1146"/>
                <w:rFonts w:hint="eastAsia" w:ascii="Times New Roman" w:hAnsi="Times New Roman" w:eastAsia="宋体" w:cs="Times New Roman"/>
                <w:sz w:val="24"/>
                <w:szCs w:val="24"/>
                <w:lang w:val="en-US" w:eastAsia="zh-CN" w:bidi="ar"/>
              </w:rPr>
              <w:t xml:space="preserve">800kg</w:t>
            </w:r>
            <w:r>
              <w:rPr>
                <w:rStyle w:val="1147"/>
                <w:rFonts w:hint="eastAsia" w:ascii="Times New Roman" w:hAnsi="Times New Roman" w:eastAsia="宋体" w:cs="Times New Roman"/>
                <w:sz w:val="24"/>
                <w:szCs w:val="24"/>
                <w:lang w:val="en-US" w:eastAsia="zh-CN" w:bidi="ar"/>
              </w:rPr>
              <w:t xml:space="preserve">；</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3.</w:t>
            </w:r>
            <w:r>
              <w:rPr>
                <w:rStyle w:val="1147"/>
                <w:rFonts w:hint="eastAsia" w:ascii="Times New Roman" w:hAnsi="Times New Roman" w:eastAsia="宋体" w:cs="Times New Roman"/>
                <w:sz w:val="24"/>
                <w:szCs w:val="24"/>
                <w:lang w:val="en-US" w:eastAsia="zh-CN" w:bidi="ar"/>
              </w:rPr>
              <w:t xml:space="preserve">电梯从首层至顶层的运行时间不大于</w:t>
            </w:r>
            <w:r>
              <w:rPr>
                <w:rStyle w:val="1146"/>
                <w:rFonts w:hint="eastAsia" w:ascii="Times New Roman" w:hAnsi="Times New Roman" w:eastAsia="宋体" w:cs="Times New Roman"/>
                <w:sz w:val="24"/>
                <w:szCs w:val="24"/>
                <w:lang w:val="en-US" w:eastAsia="zh-CN" w:bidi="ar"/>
              </w:rPr>
              <w:t xml:space="preserve">60s</w:t>
            </w:r>
            <w:r>
              <w:rPr>
                <w:rStyle w:val="1147"/>
                <w:rFonts w:hint="eastAsia" w:ascii="Times New Roman" w:hAnsi="Times New Roman" w:eastAsia="宋体" w:cs="Times New Roman"/>
                <w:sz w:val="24"/>
                <w:szCs w:val="24"/>
                <w:lang w:val="en-US" w:eastAsia="zh-CN" w:bidi="ar"/>
              </w:rPr>
              <w:t xml:space="preserve">；</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4.</w:t>
            </w:r>
            <w:r>
              <w:rPr>
                <w:rStyle w:val="1147"/>
                <w:rFonts w:hint="eastAsia" w:ascii="Times New Roman" w:hAnsi="Times New Roman" w:eastAsia="宋体" w:cs="Times New Roman"/>
                <w:sz w:val="24"/>
                <w:szCs w:val="24"/>
                <w:lang w:val="en-US" w:eastAsia="zh-CN" w:bidi="ar"/>
              </w:rPr>
              <w:t xml:space="preserve">电梯的动力与控制电缆、电线、控制面板采取防水措施；</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5.</w:t>
            </w:r>
            <w:r>
              <w:rPr>
                <w:rStyle w:val="1147"/>
                <w:rFonts w:hint="eastAsia" w:ascii="Times New Roman" w:hAnsi="Times New Roman" w:eastAsia="宋体" w:cs="Times New Roman"/>
                <w:sz w:val="24"/>
                <w:szCs w:val="24"/>
                <w:lang w:val="en-US" w:eastAsia="zh-CN" w:bidi="ar"/>
              </w:rPr>
              <w:t xml:space="preserve">在首层的消防电梯入口处应设置供消防队员专用的操作按钮；</w:t>
            </w:r>
            <w:r/>
          </w:p>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6.</w:t>
            </w:r>
            <w:r>
              <w:rPr>
                <w:rStyle w:val="1147"/>
                <w:rFonts w:hint="eastAsia" w:ascii="Times New Roman" w:hAnsi="Times New Roman" w:eastAsia="宋体" w:cs="Times New Roman"/>
                <w:sz w:val="24"/>
                <w:szCs w:val="24"/>
                <w:lang w:val="en-US" w:eastAsia="zh-CN" w:bidi="ar"/>
              </w:rPr>
              <w:t xml:space="preserve">电梯轿厢的内部装修应采用不燃材料（</w:t>
            </w:r>
            <w:r>
              <w:rPr>
                <w:rStyle w:val="1146"/>
                <w:rFonts w:hint="eastAsia" w:ascii="Times New Roman" w:hAnsi="Times New Roman" w:eastAsia="宋体" w:cs="Times New Roman"/>
                <w:sz w:val="24"/>
                <w:szCs w:val="24"/>
                <w:lang w:val="en-US" w:eastAsia="zh-CN" w:bidi="ar"/>
              </w:rPr>
              <w:t xml:space="preserve">A</w:t>
            </w:r>
            <w:r>
              <w:rPr>
                <w:rStyle w:val="1147"/>
                <w:rFonts w:hint="eastAsia" w:ascii="Times New Roman" w:hAnsi="Times New Roman" w:eastAsia="宋体" w:cs="Times New Roman"/>
                <w:sz w:val="24"/>
                <w:szCs w:val="24"/>
                <w:lang w:val="en-US" w:eastAsia="zh-CN" w:bidi="ar"/>
              </w:rPr>
              <w:t xml:space="preserve">级）；</w:t>
            </w:r>
            <w:r/>
          </w:p>
          <w:p>
            <w:pPr>
              <w:ind w:firstLine="0"/>
              <w:jc w:val="left"/>
              <w:keepLines w:val="0"/>
              <w:keepNext w:val="0"/>
              <w:pageBreakBefore w:val="0"/>
              <w:spacing w:line="240" w:lineRule="auto"/>
              <w:widowControl/>
              <w:rPr>
                <w:rStyle w:val="1147"/>
                <w:rFonts w:hint="eastAsia"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7.</w:t>
            </w:r>
            <w:r>
              <w:rPr>
                <w:rStyle w:val="1147"/>
                <w:rFonts w:hint="eastAsia" w:ascii="Times New Roman" w:hAnsi="Times New Roman" w:eastAsia="宋体" w:cs="Times New Roman"/>
                <w:sz w:val="24"/>
                <w:szCs w:val="24"/>
                <w:lang w:val="en-US" w:eastAsia="zh-CN" w:bidi="ar"/>
              </w:rPr>
              <w:t xml:space="preserve">电梯轿厢内部设置专用消防对讲电话。</w:t>
            </w:r>
            <w:r/>
          </w:p>
          <w:p>
            <w:pPr>
              <w:pStyle w:val="1093"/>
              <w:ind w:left="0" w:firstLine="0"/>
              <w:jc w:val="left"/>
              <w:keepLines w:val="0"/>
              <w:keepNext w:val="0"/>
              <w:pageBreakBefore w:val="0"/>
              <w:spacing w:line="240" w:lineRule="auto"/>
              <w:widowControl/>
              <w:rPr>
                <w:rFonts w:hint="eastAsia" w:ascii="Times New Roman" w:hAnsi="Times New Roman" w:eastAsia="宋体" w:cs="Times New Roman"/>
                <w:sz w:val="24"/>
                <w:szCs w:val="24"/>
                <w:lang w:val="en-US"/>
              </w:rPr>
            </w:pPr>
            <w:r>
              <w:rPr>
                <w:rStyle w:val="1147"/>
                <w:rFonts w:hint="eastAsia" w:ascii="Times New Roman" w:hAnsi="Times New Roman" w:eastAsia="宋体" w:cs="Times New Roman"/>
                <w:sz w:val="24"/>
                <w:szCs w:val="24"/>
                <w:lang w:val="en-US" w:eastAsia="zh-CN" w:bidi="ar"/>
              </w:rPr>
              <w:t xml:space="preserve">8.电梯层门的耐火极限不低于2.00h。</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★其他要求</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配置电梯轿厢专用空调（</w:t>
            </w:r>
            <w:r>
              <w:rPr>
                <w:rStyle w:val="1146"/>
                <w:rFonts w:hint="eastAsia" w:ascii="Times New Roman" w:hAnsi="Times New Roman" w:eastAsia="宋体" w:cs="Times New Roman"/>
                <w:sz w:val="24"/>
                <w:szCs w:val="24"/>
                <w:lang w:val="en-US" w:eastAsia="zh-CN" w:bidi="ar"/>
              </w:rPr>
              <w:t xml:space="preserve">1</w:t>
            </w:r>
            <w:r>
              <w:rPr>
                <w:rStyle w:val="1147"/>
                <w:rFonts w:hint="eastAsia" w:ascii="Times New Roman" w:hAnsi="Times New Roman" w:eastAsia="宋体" w:cs="Times New Roman"/>
                <w:sz w:val="24"/>
                <w:szCs w:val="24"/>
                <w:lang w:val="en-US" w:eastAsia="zh-CN" w:bidi="ar"/>
              </w:rPr>
              <w:t xml:space="preserve">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restart"/>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功能要求</w:t>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集选控制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自动返基站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满载直驶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反向指令自动消除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重新初始化运行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故障自诊断</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井道楼层间距自学习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端站保护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超载保护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驱动设备过热保护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电网异常检测功能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速度异常检测功能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接触器异常检测功能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抱闸异常检测功能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轿顶检修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紧急电动运行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自动泊梯</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锁梯开关</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自动返回</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开关门按钮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光幕门保护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关门力矩保护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轿厢开门保护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轿厢关门保护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厅外重开门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轿厢关门延时保护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内部通话装置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轿厢到站钟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轿厢警铃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轿厢内应急照明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轿内照明风扇自动控制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轿内楼层及方向显示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厅外楼层及方向显示</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司机直驶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司机操作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独立操作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防捣乱保护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消防紧急迫降功能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lang w:val="en-US" w:eastAsia="zh-CN" w:bidi="ar"/>
              </w:rPr>
              <w:suppressLineNumbers w:val="0"/>
            </w:pPr>
            <w:r>
              <w:rPr>
                <w:rFonts w:hint="eastAsia" w:ascii="Times New Roman" w:hAnsi="Times New Roman" w:eastAsia="宋体" w:cs="Times New Roman"/>
                <w:b w:val="0"/>
                <w:color w:val="000000"/>
                <w:sz w:val="24"/>
                <w:szCs w:val="24"/>
              </w:rPr>
              <w:t xml:space="preserve">★</w:t>
            </w:r>
            <w:r>
              <w:rPr>
                <w:rFonts w:hint="eastAsia" w:ascii="Times New Roman" w:hAnsi="Times New Roman" w:eastAsia="宋体" w:cs="Times New Roman"/>
                <w:i w:val="0"/>
                <w:iCs w:val="0"/>
                <w:color w:val="000000"/>
                <w:sz w:val="24"/>
                <w:szCs w:val="24"/>
                <w:u w:val="none"/>
                <w:lang w:val="en-US" w:eastAsia="zh-CN" w:bidi="ar"/>
              </w:rPr>
              <w:t xml:space="preserve">电梯自带物联网监控系统，制造商提供系统平台，开放物联网接口协议，并能接入政府物联网监控平台。（费用包含在投标报价中）</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b w:val="0"/>
                <w:color w:val="000000"/>
                <w:sz w:val="24"/>
                <w:szCs w:val="24"/>
                <w:highlight w:val="none"/>
                <w:lang w:val="en-US" w:eastAsia="zh-CN"/>
              </w:rPr>
              <w:suppressLineNumbers w:val="0"/>
            </w:pPr>
            <w:r>
              <w:rPr>
                <w:rFonts w:hint="eastAsia" w:ascii="Times New Roman" w:hAnsi="Times New Roman" w:eastAsia="宋体" w:cs="Times New Roman"/>
                <w:b w:val="0"/>
                <w:color w:val="000000"/>
                <w:sz w:val="24"/>
                <w:szCs w:val="24"/>
                <w:highlight w:val="none"/>
              </w:rPr>
              <w:t xml:space="preserve">▲厅门冲击试验</w:t>
            </w:r>
            <w:r>
              <w:rPr>
                <w:rFonts w:hint="eastAsia" w:cs="Times New Roman"/>
                <w:b w:val="0"/>
                <w:color w:val="000000"/>
                <w:sz w:val="24"/>
                <w:szCs w:val="24"/>
                <w:highlight w:val="none"/>
                <w:lang w:eastAsia="zh-CN"/>
              </w:rPr>
              <w:t xml:space="preserve">：</w:t>
            </w:r>
            <w:r>
              <w:rPr>
                <w:rFonts w:hint="eastAsia" w:ascii="Times New Roman" w:hAnsi="Times New Roman" w:eastAsia="宋体" w:cs="Times New Roman"/>
                <w:b w:val="0"/>
                <w:color w:val="000000"/>
                <w:sz w:val="24"/>
                <w:szCs w:val="24"/>
                <w:highlight w:val="none"/>
              </w:rPr>
              <w:t xml:space="preserve">300N静力试验弹性变形≤</w:t>
            </w:r>
            <w:r>
              <w:rPr>
                <w:rFonts w:hint="eastAsia" w:cs="Times New Roman"/>
                <w:b w:val="0"/>
                <w:color w:val="000000"/>
                <w:sz w:val="24"/>
                <w:szCs w:val="24"/>
                <w:highlight w:val="none"/>
                <w:lang w:val="en-US" w:eastAsia="zh-CN"/>
              </w:rPr>
              <w:t xml:space="preserve">12</w:t>
            </w:r>
            <w:r>
              <w:rPr>
                <w:rFonts w:hint="eastAsia" w:ascii="Times New Roman" w:hAnsi="Times New Roman" w:eastAsia="宋体" w:cs="Times New Roman"/>
                <w:b w:val="0"/>
                <w:color w:val="000000"/>
                <w:sz w:val="24"/>
                <w:szCs w:val="24"/>
                <w:highlight w:val="none"/>
              </w:rPr>
              <w:t xml:space="preserve">.0mm且1000N静力试验门间隙≤6.0mm（</w:t>
            </w:r>
            <w:r>
              <w:rPr>
                <w:rFonts w:hint="eastAsia" w:cs="Times New Roman"/>
                <w:b w:val="0"/>
                <w:color w:val="000000"/>
                <w:sz w:val="24"/>
                <w:szCs w:val="24"/>
                <w:highlight w:val="none"/>
                <w:lang w:val="en-US" w:eastAsia="zh-CN"/>
              </w:rPr>
              <w:t xml:space="preserve">中标后签订合同时，</w:t>
            </w:r>
            <w:r>
              <w:rPr>
                <w:rFonts w:hint="eastAsia" w:ascii="Times New Roman" w:hAnsi="Times New Roman" w:eastAsia="宋体" w:cs="Times New Roman"/>
                <w:b w:val="0"/>
                <w:color w:val="000000"/>
                <w:sz w:val="24"/>
                <w:szCs w:val="24"/>
                <w:highlight w:val="none"/>
              </w:rPr>
              <w:t xml:space="preserve">提供具有CMA标识的乘客电梯厅门冲击试验型式试验报告）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b w:val="0"/>
                <w:color w:val="000000"/>
                <w:sz w:val="24"/>
                <w:szCs w:val="24"/>
                <w:highlight w:val="none"/>
                <w:lang w:val="en-US" w:eastAsia="zh-CN"/>
              </w:rPr>
              <w:suppressLineNumbers w:val="0"/>
            </w:pPr>
            <w:r>
              <w:rPr>
                <w:rFonts w:hint="eastAsia" w:ascii="Times New Roman" w:hAnsi="Times New Roman" w:eastAsia="宋体" w:cs="Times New Roman"/>
                <w:b w:val="0"/>
                <w:color w:val="000000"/>
                <w:sz w:val="24"/>
                <w:szCs w:val="24"/>
                <w:highlight w:val="none"/>
              </w:rPr>
              <w:t xml:space="preserve">▲所投电梯客梯产品主机（曳引机）防护等级达到IP52（</w:t>
            </w:r>
            <w:r>
              <w:rPr>
                <w:rFonts w:hint="eastAsia" w:cs="Times New Roman"/>
                <w:b w:val="0"/>
                <w:color w:val="000000"/>
                <w:sz w:val="24"/>
                <w:szCs w:val="24"/>
                <w:highlight w:val="none"/>
                <w:lang w:val="en-US" w:eastAsia="zh-CN"/>
              </w:rPr>
              <w:t xml:space="preserve">中标后签订合同时，</w:t>
            </w:r>
            <w:r>
              <w:rPr>
                <w:rFonts w:hint="eastAsia" w:ascii="Times New Roman" w:hAnsi="Times New Roman" w:eastAsia="宋体" w:cs="Times New Roman"/>
                <w:b w:val="0"/>
                <w:color w:val="000000"/>
                <w:sz w:val="24"/>
                <w:szCs w:val="24"/>
                <w:highlight w:val="none"/>
              </w:rPr>
              <w:t xml:space="preserve">提供具有CMA标识的型式试验报告并有明确防护等级描述）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4"/>
            <w:tcBorders>
              <w:top w:val="single" w:color="000000" w:sz="4" w:space="0"/>
              <w:left w:val="single" w:color="000000" w:sz="4" w:space="0"/>
              <w:bottom w:val="single" w:color="000000" w:sz="4" w:space="0"/>
              <w:right w:val="single" w:color="000000" w:sz="4" w:space="0"/>
            </w:tcBorders>
            <w:tcW w:w="2948" w:type="dxa"/>
            <w:vAlign w:val="center"/>
            <w:vMerge w:val="continue"/>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c>
          <w:tcPr>
            <w:gridSpan w:val="3"/>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b w:val="0"/>
                <w:color w:val="000000"/>
                <w:sz w:val="24"/>
                <w:szCs w:val="24"/>
                <w:highlight w:val="none"/>
                <w:lang w:eastAsia="zh-CN"/>
              </w:rPr>
              <w:suppressLineNumbers w:val="0"/>
            </w:pPr>
            <w:r>
              <w:rPr>
                <w:rFonts w:hint="eastAsia" w:ascii="Times New Roman" w:hAnsi="Times New Roman" w:eastAsia="宋体" w:cs="Times New Roman"/>
                <w:b w:val="0"/>
                <w:color w:val="000000"/>
                <w:sz w:val="24"/>
                <w:szCs w:val="24"/>
                <w:highlight w:val="none"/>
              </w:rPr>
              <w:t xml:space="preserve">所投电梯客梯产品门机电动机防护等级达到IP</w:t>
            </w:r>
            <w:r>
              <w:rPr>
                <w:rFonts w:hint="eastAsia" w:cs="Times New Roman"/>
                <w:b w:val="0"/>
                <w:color w:val="auto"/>
                <w:sz w:val="24"/>
                <w:szCs w:val="24"/>
                <w:highlight w:val="none"/>
                <w:lang w:val="en-US" w:eastAsia="zh-CN"/>
              </w:rPr>
              <w:t xml:space="preserve">5</w:t>
            </w:r>
            <w:r>
              <w:rPr>
                <w:rFonts w:hint="eastAsia" w:ascii="Times New Roman" w:hAnsi="Times New Roman" w:eastAsia="宋体" w:cs="Times New Roman"/>
                <w:b w:val="0"/>
                <w:color w:val="auto"/>
                <w:sz w:val="24"/>
                <w:szCs w:val="24"/>
                <w:highlight w:val="none"/>
              </w:rPr>
              <w:t xml:space="preserve">5</w:t>
            </w:r>
            <w:r>
              <w:rPr>
                <w:rFonts w:hint="eastAsia" w:ascii="Times New Roman" w:hAnsi="Times New Roman" w:eastAsia="宋体" w:cs="Times New Roman"/>
                <w:b w:val="0"/>
                <w:color w:val="000000"/>
                <w:sz w:val="24"/>
                <w:szCs w:val="24"/>
                <w:highlight w:val="none"/>
              </w:rPr>
              <w:t xml:space="preserve">（</w:t>
            </w:r>
            <w:r>
              <w:rPr>
                <w:rFonts w:hint="eastAsia" w:cs="Times New Roman"/>
                <w:b w:val="0"/>
                <w:color w:val="000000"/>
                <w:sz w:val="24"/>
                <w:szCs w:val="24"/>
                <w:highlight w:val="none"/>
                <w:lang w:val="en-US" w:eastAsia="zh-CN"/>
              </w:rPr>
              <w:t xml:space="preserve">中标后签订合同时，</w:t>
            </w:r>
            <w:r>
              <w:rPr>
                <w:rFonts w:hint="eastAsia" w:ascii="Times New Roman" w:hAnsi="Times New Roman" w:eastAsia="宋体" w:cs="Times New Roman"/>
                <w:b w:val="0"/>
                <w:color w:val="000000"/>
                <w:sz w:val="24"/>
                <w:szCs w:val="24"/>
                <w:highlight w:val="none"/>
              </w:rPr>
              <w:t xml:space="preserve">提供具有CMA标识的试验报告并有明确防护等级描述）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备注</w:t>
            </w:r>
            <w:r/>
          </w:p>
        </w:tc>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tcPr>
          <w:p>
            <w:pPr>
              <w:ind w:firstLine="0"/>
              <w:jc w:val="left"/>
              <w:keepLines w:val="0"/>
              <w:keepNext w:val="0"/>
              <w:pageBreakBefore w:val="0"/>
              <w:spacing w:line="240" w:lineRule="auto"/>
              <w:widowControl/>
              <w:rPr>
                <w:rFonts w:hint="eastAsia"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rPr>
            </w:r>
            <w:r/>
          </w:p>
        </w:tc>
      </w:tr>
    </w:tbl>
    <w:p>
      <w:pPr>
        <w:ind w:firstLine="480"/>
        <w:keepLines w:val="0"/>
        <w:keepNext w:val="0"/>
        <w:pageBreakBefore w:val="0"/>
        <w:spacing w:line="264" w:lineRule="auto"/>
        <w:widowControl w:val="off"/>
        <w:rPr>
          <w:rFonts w:hint="eastAsia"/>
          <w:color w:val="000000"/>
          <w:lang w:val="en-US" w:eastAsia="zh-CN"/>
        </w:rPr>
      </w:pPr>
      <w:r>
        <w:rPr>
          <w:rFonts w:hint="eastAsia"/>
          <w:color w:val="000000"/>
          <w:lang w:val="en-US" w:eastAsia="zh-CN"/>
        </w:rPr>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t xml:space="preserve">★2.其他技术要求</w:t>
      </w:r>
      <w:r/>
    </w:p>
    <w:p>
      <w:pPr>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t xml:space="preserve">（1）供应商负责新电梯制造、运输、现场安装调试、向政府相关部门报验并承担相关费用。最终得到政府相关部门验收合格、取得新电梯特种设备注册登记证为止，且为交钥匙工程。</w:t>
      </w:r>
      <w:r/>
    </w:p>
    <w:p>
      <w:pPr>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t xml:space="preserve">（2）本次采购的垂直电梯，要求为未使用过的、合格的全新产品。</w:t>
      </w:r>
      <w:r/>
    </w:p>
    <w:p>
      <w:pPr>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t xml:space="preserve">（3）本次采购的垂直电梯，执行宁政办发[2015]67号文《南京市关于推行电梯安全责任保险的实施意见》，由供应商负责维保期内的所有保险费用。</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（1）投标报价为固定总价，建议供应商在投标前勘察现场，</w:t>
      </w:r>
      <w:r>
        <w:rPr>
          <w:rFonts w:hint="eastAsia" w:ascii="宋体" w:hAnsi="宋体" w:eastAsia="宋体" w:cs="宋体"/>
          <w:color w:val="000000"/>
          <w:sz w:val="24"/>
          <w:szCs w:val="24"/>
          <w:lang w:val="en-US" w:eastAsia="zh-CN"/>
        </w:rPr>
        <w:t xml:space="preserve">数据以现场实测为准，并充分考虑所有相关因素及各类市场风险和政策性调整确定风险系数计入投标总价，今后不作调整。</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（3）现场不提供办公、住宿场所，供应商自行考虑相关费用，相关费用已包含在本次报价中。电源提供二级箱接入点，相关使用费用，供应商自行考虑，</w:t>
      </w:r>
      <w:r>
        <w:rPr>
          <w:rFonts w:hint="eastAsia" w:ascii="宋体" w:hAnsi="宋体" w:eastAsia="宋体" w:cs="宋体"/>
          <w:color w:val="000000"/>
          <w:sz w:val="24"/>
          <w:szCs w:val="24"/>
          <w:highlight w:val="none"/>
          <w:lang w:val="en-US" w:eastAsia="zh-CN"/>
        </w:rPr>
        <w:t xml:space="preserve">与总承包单位结算，相关费用已包含在本次报价中。</w:t>
      </w:r>
      <w:r>
        <w:rPr>
          <w:rFonts w:hint="eastAsia" w:ascii="宋体" w:hAnsi="宋体" w:eastAsia="宋体" w:cs="宋体"/>
          <w:color w:val="000000"/>
          <w:sz w:val="24"/>
          <w:szCs w:val="24"/>
          <w:lang w:val="en-US" w:eastAsia="zh-CN"/>
        </w:rPr>
        <w:t xml:space="preserve">水源提供地面接入点，相关使用费用，供应商自行考虑，与总承包单位结算，相关费用已包含在本次报价中。</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③供应商应为其项目实施人员办理各项保险，保险费由中标供应商承担，加强安全管理，严格操作规程，在货物运输、实施过程中如出现任何安全事故，责任由中标供应商承担。</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（2）质量要求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①供应商应保证货物是全新、未使用过的、符合国家质量检测标准的原装合格正品。</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③供应商应保证提供的产品不得侵犯第三方专利权、商标权和工业设计权、版权等。否则供应商应负全部责任，并承担由此引起的一切后果。</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④供应商提供的货物必须符合国家有关质量技术标准及相关法律、法规规定的要求。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①验收标准：供应商提供的设备必须符合我国最新颁布的与之相关的技术规范与标准，同时须满足符合投标响应文件要求。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④供应商授权的技术人员在最终采购方指定地点开箱、安装、调试，协同用户一起进行验收，直至设备技术指标经验收合格，出具验收报告，经最终用户同意签字才能正式交付用户使用。</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⑤产品配置必须符合投标响应文件要求。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①质保和维保期限：本项目整体质保期不低于5年，维保期不得低于2年，所有相关费用包含在本次报价中（自验收报告签字确认之日起，进入质保期）。</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②质保期内因设备本身缺陷造成各种故障应由供应商提供技术服务和维修（费用包含在投标总价中）。</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产品出现故障损坏时，供应商接到报修通知后的响应时间为30分钟，安排的维修人员在30分钟内赶到现场，一般故障1小时内解决，现场解决不了的重大故障，须从故障报修的隔天起计，3个自然日内解决。质保期后，供应商提供终生服务，在设备的设计使用寿命周期内，供应商应能保证采购人更换到原厂正宗的备件材料，确保产品的正常使用，维修费用按照材料成本收取。</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④质保和</w:t>
      </w:r>
      <w:r>
        <w:rPr>
          <w:rFonts w:hint="eastAsia" w:ascii="宋体" w:hAnsi="宋体" w:eastAsia="宋体" w:cs="宋体"/>
          <w:b w:val="0"/>
          <w:bCs w:val="0"/>
          <w:color w:val="000000"/>
          <w:sz w:val="24"/>
          <w:szCs w:val="24"/>
          <w:highlight w:val="none"/>
          <w:lang w:val="en-US" w:eastAsia="zh-CN"/>
        </w:rPr>
        <w:t xml:space="preserve">维保期</w:t>
      </w:r>
      <w:r>
        <w:rPr>
          <w:rFonts w:ascii="宋体" w:hAnsi="宋体" w:eastAsia="宋体" w:cs="宋体"/>
          <w:b w:val="0"/>
          <w:bCs w:val="0"/>
          <w:color w:val="000000"/>
          <w:sz w:val="24"/>
          <w:szCs w:val="24"/>
          <w:highlight w:val="none"/>
          <w:lang w:val="en-US" w:eastAsia="zh-CN"/>
        </w:rPr>
        <w:t xml:space="preserve">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（5）保密要求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供应商不得将在履行本合同中知悉的采购人任何信息随意泄露、擅自使用。如违反本条款规定，供应商应当承担相应的法律责任。</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（1）交付时间：签订合同后60天内完成本项目（包含取得使用合格证所需时间），将所有设备安装到位通过验收并交付采购人使用。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5</w:t>
      </w:r>
      <w:bookmarkStart w:id="195" w:name="OLE_LINK1"/>
      <w:r>
        <w:rPr>
          <w:rFonts w:hint="eastAsia" w:ascii="宋体" w:hAnsi="宋体" w:eastAsia="宋体" w:cs="宋体"/>
          <w:color w:val="000000"/>
          <w:sz w:val="24"/>
          <w:szCs w:val="24"/>
          <w:lang w:val="en-US" w:eastAsia="zh-CN"/>
        </w:rPr>
        <w:t xml:space="preserve">.</w:t>
      </w:r>
      <w:r>
        <w:rPr>
          <w:rFonts w:hint="eastAsia" w:ascii="宋体" w:hAnsi="宋体" w:eastAsia="宋体" w:cs="宋体"/>
          <w:bCs/>
          <w:color w:val="000000"/>
          <w:sz w:val="24"/>
          <w:szCs w:val="24"/>
          <w:highlight w:val="none"/>
          <w:lang w:val="en-US" w:eastAsia="zh-CN"/>
        </w:rPr>
        <w:t xml:space="preserve">其他要求</w:t>
      </w:r>
      <w:bookmarkEnd w:id="195"/>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3.1-3.3项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13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17</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所投电梯主要部件及安全部件：曳引机、控制柜、安全钳、限速器、缓冲器与所投电梯整机为同一品牌，每响应一个得1分，最多得5分，未提供不得分（提供承诺书（格式自拟）或所投部件的型式试验报告等证明材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p>
        </w:tc>
      </w:tr>
      <w:tr>
        <w:trPr>
          <w:jc w:val="center"/>
          <w:trHeight w:val="584"/>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检测报告</w:t>
            </w:r>
            <w:r/>
          </w:p>
        </w:tc>
        <w:tc>
          <w:tcPr>
            <w:tcW w:w="6330" w:type="dxa"/>
            <w:vAlign w:val="center"/>
            <w:textDirection w:val="lrTb"/>
            <w:noWrap w:val="false"/>
          </w:tcPr>
          <w:p>
            <w:pPr>
              <w:ind w:left="0" w:firstLine="0"/>
              <w:jc w:val="both"/>
              <w:keepLines w:val="0"/>
              <w:keepNext w:val="0"/>
              <w:pageBreakBefore w:val="0"/>
              <w:spacing w:line="240" w:lineRule="auto"/>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投标人提供具有CMA标识的所投电梯产品检测报告，检测内容如下：</w:t>
            </w:r>
            <w:r/>
          </w:p>
          <w:p>
            <w:pPr>
              <w:ind w:left="0" w:firstLine="0"/>
              <w:jc w:val="both"/>
              <w:keepLines w:val="0"/>
              <w:keepNext w:val="0"/>
              <w:pageBreakBefore w:val="0"/>
              <w:spacing w:line="240" w:lineRule="auto"/>
              <w:widowControl w:val="off"/>
              <w:rPr>
                <w:rFonts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zh-CN" w:eastAsia="zh-CN"/>
              </w:rPr>
              <w:t xml:space="preserve">1</w:t>
            </w:r>
            <w:r>
              <w:rPr>
                <w:rFonts w:hint="eastAsia" w:ascii="Times New Roman" w:hAnsi="Times New Roman" w:cs="Times New Roman"/>
                <w:b w:val="0"/>
                <w:bCs w:val="0"/>
                <w:color w:val="000000"/>
                <w:sz w:val="21"/>
                <w:szCs w:val="21"/>
                <w:highlight w:val="none"/>
                <w:lang w:val="zh-CN" w:eastAsia="zh-CN"/>
              </w:rPr>
              <w:t xml:space="preserve">）</w:t>
            </w:r>
            <w:r>
              <w:rPr>
                <w:rFonts w:hint="eastAsia" w:ascii="Times New Roman" w:hAnsi="Times New Roman" w:eastAsia="宋体" w:cs="Times New Roman"/>
                <w:b w:val="0"/>
                <w:bCs w:val="0"/>
                <w:color w:val="000000"/>
                <w:sz w:val="21"/>
                <w:szCs w:val="21"/>
                <w:highlight w:val="none"/>
                <w:lang w:val="en-US" w:eastAsia="zh-CN"/>
              </w:rPr>
              <w:t xml:space="preserve">曳引机（或主机、或马达、或驱动器）制动器，无故障实验动作次数（或运行次数）</w:t>
            </w:r>
            <w:r>
              <w:rPr>
                <w:rFonts w:hint="eastAsia" w:ascii="Times New Roman" w:hAnsi="Times New Roman" w:eastAsia="宋体" w:cs="Times New Roman"/>
                <w:b w:val="0"/>
                <w:bCs w:val="0"/>
                <w:color w:val="000000"/>
                <w:sz w:val="21"/>
                <w:szCs w:val="21"/>
                <w:highlight w:val="none"/>
                <w:lang w:val="zh-CN" w:eastAsia="zh-CN"/>
              </w:rPr>
              <w:t xml:space="preserve">≥1</w:t>
            </w:r>
            <w:r>
              <w:rPr>
                <w:rFonts w:hint="eastAsia" w:ascii="Times New Roman" w:hAnsi="Times New Roman" w:eastAsia="宋体" w:cs="Times New Roman"/>
                <w:b w:val="0"/>
                <w:bCs w:val="0"/>
                <w:color w:val="000000"/>
                <w:sz w:val="21"/>
                <w:szCs w:val="21"/>
                <w:highlight w:val="none"/>
                <w:lang w:val="en-US" w:eastAsia="zh-CN"/>
              </w:rPr>
              <w:t xml:space="preserve">5</w:t>
            </w:r>
            <w:r>
              <w:rPr>
                <w:rFonts w:hint="eastAsia" w:ascii="Times New Roman" w:hAnsi="Times New Roman" w:eastAsia="宋体" w:cs="Times New Roman"/>
                <w:b w:val="0"/>
                <w:bCs w:val="0"/>
                <w:color w:val="000000"/>
                <w:sz w:val="21"/>
                <w:szCs w:val="21"/>
                <w:highlight w:val="none"/>
                <w:lang w:val="zh-CN" w:eastAsia="zh-CN"/>
              </w:rPr>
              <w:t xml:space="preserve">00万次</w:t>
            </w:r>
            <w:r>
              <w:rPr>
                <w:rFonts w:hint="eastAsia" w:ascii="Times New Roman" w:hAnsi="Times New Roman" w:cs="Times New Roman"/>
                <w:b w:val="0"/>
                <w:bCs w:val="0"/>
                <w:color w:val="000000"/>
                <w:sz w:val="21"/>
                <w:szCs w:val="21"/>
                <w:highlight w:val="none"/>
                <w:lang w:val="zh-CN" w:eastAsia="zh-CN"/>
              </w:rPr>
              <w:t xml:space="preserve">，</w:t>
            </w:r>
            <w:r>
              <w:rPr>
                <w:rFonts w:hint="eastAsia" w:ascii="Times New Roman" w:hAnsi="Times New Roman" w:cs="Times New Roman"/>
                <w:b w:val="0"/>
                <w:bCs w:val="0"/>
                <w:color w:val="000000"/>
                <w:sz w:val="21"/>
                <w:szCs w:val="21"/>
                <w:highlight w:val="none"/>
                <w:lang w:val="en-US" w:eastAsia="zh-CN"/>
              </w:rPr>
              <w:t xml:space="preserve">得5分</w:t>
            </w:r>
            <w:r>
              <w:rPr>
                <w:rFonts w:hint="eastAsia" w:ascii="Times New Roman" w:hAnsi="Times New Roman" w:eastAsia="宋体" w:cs="Times New Roman"/>
                <w:b w:val="0"/>
                <w:bCs w:val="0"/>
                <w:color w:val="000000"/>
                <w:sz w:val="21"/>
                <w:szCs w:val="21"/>
                <w:highlight w:val="none"/>
                <w:lang w:val="zh-CN" w:eastAsia="zh-CN"/>
              </w:rPr>
              <w:t xml:space="preserve">；</w:t>
            </w:r>
            <w:r>
              <w:rPr>
                <w:rFonts w:hint="eastAsia" w:ascii="Times New Roman" w:hAnsi="Times New Roman" w:cs="Times New Roman"/>
                <w:b w:val="0"/>
                <w:bCs w:val="0"/>
                <w:color w:val="000000"/>
                <w:sz w:val="21"/>
                <w:szCs w:val="21"/>
                <w:highlight w:val="none"/>
                <w:lang w:val="en-US" w:eastAsia="zh-CN"/>
              </w:rPr>
              <w:t xml:space="preserve">1000万次</w:t>
            </w:r>
            <w:r>
              <w:rPr>
                <w:rFonts w:hint="eastAsia" w:ascii="宋体" w:hAnsi="宋体"/>
                <w:bCs/>
                <w:color w:val="000000"/>
                <w:sz w:val="21"/>
                <w:szCs w:val="21"/>
                <w:highlight w:val="none"/>
              </w:rPr>
              <w:t xml:space="preserve">≤</w:t>
            </w:r>
            <w:r>
              <w:rPr>
                <w:rFonts w:hint="eastAsia" w:ascii="Times New Roman" w:hAnsi="Times New Roman" w:eastAsia="宋体" w:cs="Times New Roman"/>
                <w:b w:val="0"/>
                <w:bCs w:val="0"/>
                <w:color w:val="000000"/>
                <w:sz w:val="21"/>
                <w:szCs w:val="21"/>
                <w:highlight w:val="none"/>
                <w:lang w:val="en-US" w:eastAsia="zh-CN"/>
              </w:rPr>
              <w:t xml:space="preserve">无故障实验动作次数（或运行次数）</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1500</w:t>
            </w:r>
            <w:r>
              <w:rPr>
                <w:rFonts w:hint="eastAsia" w:ascii="Times New Roman" w:hAnsi="Times New Roman" w:cs="Times New Roman"/>
                <w:b w:val="0"/>
                <w:bCs w:val="0"/>
                <w:color w:val="000000"/>
                <w:sz w:val="21"/>
                <w:szCs w:val="21"/>
                <w:highlight w:val="none"/>
                <w:lang w:val="en-US" w:eastAsia="zh-CN"/>
              </w:rPr>
              <w:t xml:space="preserve">万次，得2分</w:t>
            </w:r>
            <w:r>
              <w:rPr>
                <w:rFonts w:hint="eastAsia" w:cs="Times New Roman"/>
                <w:b w:val="0"/>
                <w:bCs w:val="0"/>
                <w:color w:val="000000"/>
                <w:sz w:val="21"/>
                <w:szCs w:val="21"/>
                <w:highlight w:val="none"/>
                <w:lang w:val="en-US" w:eastAsia="zh-CN"/>
              </w:rPr>
              <w:t xml:space="preserve">；</w:t>
            </w:r>
            <w:r>
              <w:rPr>
                <w:rFonts w:hint="eastAsia" w:ascii="Times New Roman" w:hAnsi="Times New Roman" w:cs="Times New Roman"/>
                <w:b w:val="0"/>
                <w:bCs w:val="0"/>
                <w:color w:val="000000"/>
                <w:sz w:val="21"/>
                <w:szCs w:val="21"/>
                <w:highlight w:val="none"/>
                <w:lang w:val="en-US" w:eastAsia="zh-CN"/>
              </w:rPr>
              <w:t xml:space="preserve">其余不得分。</w:t>
            </w:r>
            <w:r/>
          </w:p>
          <w:p>
            <w:pPr>
              <w:ind w:left="0" w:firstLine="0"/>
              <w:jc w:val="both"/>
              <w:keepLines w:val="0"/>
              <w:keepNext w:val="0"/>
              <w:pageBreakBefore w:val="0"/>
              <w:spacing w:line="240" w:lineRule="auto"/>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zh-CN" w:eastAsia="zh-CN"/>
              </w:rPr>
              <w:t xml:space="preserve">2</w:t>
            </w:r>
            <w:r>
              <w:rPr>
                <w:rFonts w:hint="eastAsia" w:ascii="Times New Roman" w:hAnsi="Times New Roman" w:cs="Times New Roman"/>
                <w:b w:val="0"/>
                <w:bCs w:val="0"/>
                <w:color w:val="000000"/>
                <w:sz w:val="21"/>
                <w:szCs w:val="21"/>
                <w:highlight w:val="none"/>
                <w:lang w:val="zh-CN" w:eastAsia="zh-CN"/>
              </w:rPr>
              <w:t xml:space="preserve">）</w:t>
            </w:r>
            <w:r>
              <w:rPr>
                <w:rFonts w:hint="eastAsia" w:ascii="Times New Roman" w:hAnsi="Times New Roman" w:cs="Times New Roman"/>
                <w:b w:val="0"/>
                <w:bCs w:val="0"/>
                <w:color w:val="000000"/>
                <w:sz w:val="21"/>
                <w:szCs w:val="21"/>
                <w:highlight w:val="none"/>
                <w:lang w:val="en-US" w:eastAsia="zh-CN"/>
              </w:rPr>
              <w:t xml:space="preserve">按钮</w:t>
            </w:r>
            <w:r>
              <w:rPr>
                <w:rFonts w:hint="eastAsia" w:ascii="Times New Roman" w:hAnsi="Times New Roman" w:eastAsia="宋体" w:cs="Times New Roman"/>
                <w:b w:val="0"/>
                <w:bCs w:val="0"/>
                <w:color w:val="000000"/>
                <w:sz w:val="21"/>
                <w:szCs w:val="21"/>
                <w:highlight w:val="none"/>
                <w:lang w:val="en-US" w:eastAsia="zh-CN"/>
              </w:rPr>
              <w:t xml:space="preserve">，无故障实验动作次数（或运行次数）</w:t>
            </w:r>
            <w:r>
              <w:rPr>
                <w:rFonts w:hint="eastAsia" w:ascii="Times New Roman" w:hAnsi="Times New Roman" w:eastAsia="宋体" w:cs="Times New Roman"/>
                <w:b w:val="0"/>
                <w:bCs w:val="0"/>
                <w:color w:val="000000"/>
                <w:sz w:val="21"/>
                <w:szCs w:val="21"/>
                <w:highlight w:val="none"/>
                <w:lang w:val="zh-CN" w:eastAsia="zh-CN"/>
              </w:rPr>
              <w:t xml:space="preserve">≥1</w:t>
            </w:r>
            <w:r>
              <w:rPr>
                <w:rFonts w:hint="eastAsia" w:ascii="Times New Roman" w:hAnsi="Times New Roman" w:eastAsia="宋体" w:cs="Times New Roman"/>
                <w:b w:val="0"/>
                <w:bCs w:val="0"/>
                <w:color w:val="000000"/>
                <w:sz w:val="21"/>
                <w:szCs w:val="21"/>
                <w:highlight w:val="none"/>
                <w:lang w:val="en-US" w:eastAsia="zh-CN"/>
              </w:rPr>
              <w:t xml:space="preserve">5</w:t>
            </w:r>
            <w:r>
              <w:rPr>
                <w:rFonts w:hint="eastAsia" w:ascii="Times New Roman" w:hAnsi="Times New Roman" w:eastAsia="宋体" w:cs="Times New Roman"/>
                <w:b w:val="0"/>
                <w:bCs w:val="0"/>
                <w:color w:val="000000"/>
                <w:sz w:val="21"/>
                <w:szCs w:val="21"/>
                <w:highlight w:val="none"/>
                <w:lang w:val="zh-CN" w:eastAsia="zh-CN"/>
              </w:rPr>
              <w:t xml:space="preserve">00万次</w:t>
            </w:r>
            <w:r>
              <w:rPr>
                <w:rFonts w:hint="eastAsia" w:ascii="Times New Roman" w:hAnsi="Times New Roman" w:cs="Times New Roman"/>
                <w:b w:val="0"/>
                <w:bCs w:val="0"/>
                <w:color w:val="000000"/>
                <w:sz w:val="21"/>
                <w:szCs w:val="21"/>
                <w:highlight w:val="none"/>
                <w:lang w:val="zh-CN" w:eastAsia="zh-CN"/>
              </w:rPr>
              <w:t xml:space="preserve">，</w:t>
            </w:r>
            <w:r>
              <w:rPr>
                <w:rFonts w:hint="eastAsia" w:ascii="Times New Roman" w:hAnsi="Times New Roman" w:cs="Times New Roman"/>
                <w:b w:val="0"/>
                <w:bCs w:val="0"/>
                <w:color w:val="000000"/>
                <w:sz w:val="21"/>
                <w:szCs w:val="21"/>
                <w:highlight w:val="none"/>
                <w:lang w:val="en-US" w:eastAsia="zh-CN"/>
              </w:rPr>
              <w:t xml:space="preserve">得5分</w:t>
            </w:r>
            <w:r>
              <w:rPr>
                <w:rFonts w:hint="eastAsia" w:ascii="Times New Roman" w:hAnsi="Times New Roman" w:eastAsia="宋体" w:cs="Times New Roman"/>
                <w:b w:val="0"/>
                <w:bCs w:val="0"/>
                <w:color w:val="000000"/>
                <w:sz w:val="21"/>
                <w:szCs w:val="21"/>
                <w:highlight w:val="none"/>
                <w:lang w:val="zh-CN" w:eastAsia="zh-CN"/>
              </w:rPr>
              <w:t xml:space="preserve">；</w:t>
            </w:r>
            <w:r>
              <w:rPr>
                <w:rFonts w:hint="eastAsia" w:ascii="Times New Roman" w:hAnsi="Times New Roman" w:cs="Times New Roman"/>
                <w:b w:val="0"/>
                <w:bCs w:val="0"/>
                <w:color w:val="000000"/>
                <w:sz w:val="21"/>
                <w:szCs w:val="21"/>
                <w:highlight w:val="none"/>
                <w:lang w:val="en-US" w:eastAsia="zh-CN"/>
              </w:rPr>
              <w:t xml:space="preserve">1000万次</w:t>
            </w:r>
            <w:r>
              <w:rPr>
                <w:rFonts w:hint="eastAsia" w:ascii="宋体" w:hAnsi="宋体"/>
                <w:bCs/>
                <w:color w:val="000000"/>
                <w:sz w:val="21"/>
                <w:szCs w:val="21"/>
                <w:highlight w:val="none"/>
              </w:rPr>
              <w:t xml:space="preserve">≤</w:t>
            </w:r>
            <w:r>
              <w:rPr>
                <w:rFonts w:hint="eastAsia" w:ascii="Times New Roman" w:hAnsi="Times New Roman" w:eastAsia="宋体" w:cs="Times New Roman"/>
                <w:b w:val="0"/>
                <w:bCs w:val="0"/>
                <w:color w:val="000000"/>
                <w:sz w:val="21"/>
                <w:szCs w:val="21"/>
                <w:highlight w:val="none"/>
                <w:lang w:val="en-US" w:eastAsia="zh-CN"/>
              </w:rPr>
              <w:t xml:space="preserve">无故障实验动作次数（或运行次数）</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1500</w:t>
            </w:r>
            <w:r>
              <w:rPr>
                <w:rFonts w:hint="eastAsia" w:ascii="Times New Roman" w:hAnsi="Times New Roman" w:cs="Times New Roman"/>
                <w:b w:val="0"/>
                <w:bCs w:val="0"/>
                <w:color w:val="000000"/>
                <w:sz w:val="21"/>
                <w:szCs w:val="21"/>
                <w:highlight w:val="none"/>
                <w:lang w:val="en-US" w:eastAsia="zh-CN"/>
              </w:rPr>
              <w:t xml:space="preserve">万次，得2分，其余不得分。</w:t>
            </w:r>
            <w:r/>
          </w:p>
          <w:p>
            <w:pPr>
              <w:ind w:left="0" w:firstLine="0"/>
              <w:jc w:val="both"/>
              <w:keepLines w:val="0"/>
              <w:keepNext w:val="0"/>
              <w:pageBreakBefore w:val="0"/>
              <w:spacing w:line="240" w:lineRule="auto"/>
              <w:widowControl w:val="off"/>
              <w:rPr>
                <w:rFonts w:hint="eastAsia" w:ascii="Times New Roman" w:hAnsi="Times New Roman" w:eastAsia="宋体" w:cs="Times New Roman"/>
                <w:b w:val="0"/>
                <w:bCs w:val="0"/>
                <w:color w:val="auto"/>
                <w:sz w:val="21"/>
                <w:szCs w:val="21"/>
                <w:highlight w:val="none"/>
                <w:lang w:val="zh-CN" w:eastAsia="zh-CN"/>
              </w:rPr>
            </w:pPr>
            <w:r>
              <w:rPr>
                <w:rFonts w:hint="eastAsia" w:ascii="Times New Roman" w:hAnsi="Times New Roman" w:eastAsia="宋体" w:cs="Times New Roman"/>
                <w:b w:val="0"/>
                <w:bCs w:val="0"/>
                <w:color w:val="000000"/>
                <w:sz w:val="21"/>
                <w:szCs w:val="21"/>
                <w:highlight w:val="none"/>
                <w:lang w:val="zh-CN" w:eastAsia="zh-CN"/>
              </w:rPr>
              <w:t xml:space="preserve">3</w:t>
            </w:r>
            <w:r>
              <w:rPr>
                <w:rFonts w:hint="eastAsia" w:ascii="Times New Roman" w:hAnsi="Times New Roman" w:cs="Times New Roman"/>
                <w:b w:val="0"/>
                <w:bCs w:val="0"/>
                <w:color w:val="auto"/>
                <w:sz w:val="21"/>
                <w:szCs w:val="21"/>
                <w:highlight w:val="none"/>
                <w:lang w:val="zh-CN" w:eastAsia="zh-CN"/>
              </w:rPr>
              <w:t xml:space="preserve">）</w:t>
            </w:r>
            <w:r>
              <w:rPr>
                <w:rFonts w:hint="eastAsia" w:ascii="Times New Roman" w:hAnsi="Times New Roman" w:eastAsia="宋体" w:cs="Times New Roman"/>
                <w:b w:val="0"/>
                <w:bCs w:val="0"/>
                <w:color w:val="auto"/>
                <w:sz w:val="21"/>
                <w:szCs w:val="21"/>
                <w:highlight w:val="none"/>
                <w:lang w:val="zh-CN" w:eastAsia="zh-CN"/>
              </w:rPr>
              <w:t xml:space="preserve">当轿厢内加载至2</w:t>
            </w:r>
            <w:r>
              <w:rPr>
                <w:rFonts w:hint="eastAsia" w:cs="Times New Roman"/>
                <w:b w:val="0"/>
                <w:bCs w:val="0"/>
                <w:color w:val="auto"/>
                <w:sz w:val="21"/>
                <w:szCs w:val="21"/>
                <w:highlight w:val="none"/>
                <w:lang w:val="en-US" w:eastAsia="zh-CN"/>
              </w:rPr>
              <w:t xml:space="preserve">0</w:t>
            </w:r>
            <w:r>
              <w:rPr>
                <w:rFonts w:hint="eastAsia" w:ascii="Times New Roman" w:hAnsi="Times New Roman" w:eastAsia="宋体" w:cs="Times New Roman"/>
                <w:b w:val="0"/>
                <w:bCs w:val="0"/>
                <w:color w:val="auto"/>
                <w:sz w:val="21"/>
                <w:szCs w:val="21"/>
                <w:highlight w:val="none"/>
                <w:lang w:val="zh-CN" w:eastAsia="zh-CN"/>
              </w:rPr>
              <w:t xml:space="preserve">0%的额定荷载并保持</w:t>
            </w:r>
            <w:r>
              <w:rPr>
                <w:rFonts w:hint="eastAsia" w:cs="Times New Roman"/>
                <w:b w:val="0"/>
                <w:bCs w:val="0"/>
                <w:color w:val="auto"/>
                <w:sz w:val="21"/>
                <w:szCs w:val="21"/>
                <w:highlight w:val="none"/>
                <w:lang w:val="en-US" w:eastAsia="zh-CN"/>
              </w:rPr>
              <w:t xml:space="preserve">45</w:t>
            </w:r>
            <w:r>
              <w:rPr>
                <w:rFonts w:hint="eastAsia" w:ascii="Times New Roman" w:hAnsi="Times New Roman" w:eastAsia="宋体" w:cs="Times New Roman"/>
                <w:b w:val="0"/>
                <w:bCs w:val="0"/>
                <w:color w:val="auto"/>
                <w:sz w:val="21"/>
                <w:szCs w:val="21"/>
                <w:highlight w:val="none"/>
                <w:lang w:val="zh-CN" w:eastAsia="zh-CN"/>
              </w:rPr>
              <w:t xml:space="preserve">min，主机制动器各部件完好，曳引轮不转动、轿厢未发生明显位移，制动器可保持良好的静态制动性能的，得5分；当轿厢内加载至</w:t>
            </w:r>
            <w:r>
              <w:rPr>
                <w:rFonts w:hint="eastAsia" w:cs="Times New Roman"/>
                <w:b w:val="0"/>
                <w:bCs w:val="0"/>
                <w:color w:val="auto"/>
                <w:sz w:val="21"/>
                <w:szCs w:val="21"/>
                <w:highlight w:val="none"/>
                <w:lang w:val="en-US" w:eastAsia="zh-CN"/>
              </w:rPr>
              <w:t xml:space="preserve">150</w:t>
            </w:r>
            <w:r>
              <w:rPr>
                <w:rFonts w:hint="eastAsia" w:ascii="Times New Roman" w:hAnsi="Times New Roman" w:eastAsia="宋体" w:cs="Times New Roman"/>
                <w:b w:val="0"/>
                <w:bCs w:val="0"/>
                <w:color w:val="auto"/>
                <w:sz w:val="21"/>
                <w:szCs w:val="21"/>
                <w:highlight w:val="none"/>
                <w:lang w:val="zh-CN" w:eastAsia="zh-CN"/>
              </w:rPr>
              <w:t xml:space="preserve">%的额定荷载并保持</w:t>
            </w:r>
            <w:r>
              <w:rPr>
                <w:rFonts w:hint="eastAsia" w:cs="Times New Roman"/>
                <w:b w:val="0"/>
                <w:bCs w:val="0"/>
                <w:color w:val="auto"/>
                <w:sz w:val="21"/>
                <w:szCs w:val="21"/>
                <w:highlight w:val="none"/>
                <w:lang w:val="en-US" w:eastAsia="zh-CN"/>
              </w:rPr>
              <w:t xml:space="preserve">30</w:t>
            </w:r>
            <w:r>
              <w:rPr>
                <w:rFonts w:hint="eastAsia" w:ascii="Times New Roman" w:hAnsi="Times New Roman" w:eastAsia="宋体" w:cs="Times New Roman"/>
                <w:b w:val="0"/>
                <w:bCs w:val="0"/>
                <w:color w:val="auto"/>
                <w:sz w:val="21"/>
                <w:szCs w:val="21"/>
                <w:highlight w:val="none"/>
                <w:lang w:val="zh-CN" w:eastAsia="zh-CN"/>
              </w:rPr>
              <w:t xml:space="preserve">min，主机制动器各部件完好，曳引轮不转动、轿厢未发生明显位移，制动器可保持良好的静态制动性能的，得2分；其余不得分。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b w:val="0"/>
                <w:bCs w:val="0"/>
                <w:color w:val="auto"/>
                <w:sz w:val="21"/>
                <w:szCs w:val="21"/>
                <w:highlight w:val="none"/>
                <w:lang w:val="en-US" w:eastAsia="zh-CN"/>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w:t>
            </w:r>
            <w:r>
              <w:rPr>
                <w:rFonts w:hint="eastAsia" w:ascii="Times New Roman" w:hAnsi="Times New Roman" w:eastAsia="宋体" w:cs="Times New Roman"/>
                <w:b w:val="0"/>
                <w:bCs w:val="0"/>
                <w:color w:val="000000"/>
                <w:sz w:val="21"/>
                <w:szCs w:val="21"/>
                <w:highlight w:val="none"/>
                <w:lang w:val="en-US" w:eastAsia="zh-CN"/>
              </w:rPr>
              <w:t xml:space="preserve">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p>
        </w:tc>
        <w:tc>
          <w:tcPr>
            <w:tcW w:w="6330" w:type="dxa"/>
            <w:vAlign w:val="center"/>
            <w:textDirection w:val="lrTb"/>
            <w:noWrap w:val="false"/>
          </w:tcPr>
          <w:p>
            <w:pPr>
              <w:pStyle w:val="1134"/>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评委根据投标人提供的项目实施方案综合评分，包</w:t>
            </w:r>
            <w:r>
              <w:rPr>
                <w:rFonts w:hint="eastAsia" w:ascii="宋体" w:hAnsi="宋体" w:eastAsia="宋体" w:cs="宋体"/>
                <w:color w:val="000000"/>
                <w:sz w:val="21"/>
                <w:szCs w:val="21"/>
                <w:lang w:val="en-US" w:eastAsia="zh-CN" w:bidi="ar-SA"/>
              </w:rPr>
              <w:t xml:space="preserve">含：</w:t>
            </w:r>
            <w:r>
              <w:rPr>
                <w:rFonts w:hint="eastAsia" w:ascii="宋体" w:hAnsi="宋体" w:eastAsia="宋体" w:cs="宋体"/>
                <w:color w:val="000000"/>
                <w:sz w:val="21"/>
                <w:szCs w:val="21"/>
                <w:highlight w:val="none"/>
                <w:lang w:val="en-US" w:eastAsia="zh-CN" w:bidi="ar-SA"/>
              </w:rPr>
              <w:t xml:space="preserve">1.供货进度保证措施；2.质量保证措施；3.协调配合措施；4.应急措施。</w:t>
            </w:r>
            <w:r>
              <w:rPr>
                <w:rFonts w:hint="eastAsia" w:ascii="宋体" w:hAnsi="宋体" w:eastAsia="宋体" w:cs="宋体"/>
                <w:color w:val="000000"/>
                <w:sz w:val="21"/>
                <w:szCs w:val="21"/>
                <w:lang w:val="en-US" w:eastAsia="zh-CN" w:bidi="ar-SA"/>
              </w:rPr>
              <w:t xml:space="preserve">以上每项内容逐条阐述。</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（1）上述每项内容完整，科学合理、操作性强的，得2分； </w:t>
            </w:r>
            <w:r/>
          </w:p>
          <w:p>
            <w:pPr>
              <w:pStyle w:val="1134"/>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（2）上述每项内容较完整，较科学合理，有可操作性的，得1</w:t>
            </w:r>
            <w:r>
              <w:rPr>
                <w:rFonts w:hint="eastAsia" w:ascii="宋体" w:hAnsi="宋体" w:eastAsia="宋体" w:cs="宋体"/>
                <w:sz w:val="21"/>
                <w:szCs w:val="21"/>
                <w:lang w:val="en-US" w:eastAsia="zh-CN" w:bidi="ar-SA"/>
              </w:rPr>
              <w:t xml:space="preserve">分； </w:t>
            </w:r>
            <w:r/>
          </w:p>
          <w:p>
            <w:pPr>
              <w:pStyle w:val="1134"/>
              <w:jc w:val="left"/>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（3）上述每项内容不科学合理、无操作性或未提供的不得分。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评委根据投标人提供的项目售后服务方案综合评分，包含：1.售后服务内容；2.故障解决方案；3.响应时间；4.专业技术人员保障及服务电话等内容。以上每项内容逐条阐述。</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（1）上述每项内容完整，科学合理、操作性强的，得2分； </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（2）上述每项内容较完整，较科学合理，有可操作性的，得1分； </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（3）上述每项内容不科学合理、无操作性或未提供的不得分。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培训方案</w:t>
            </w:r>
            <w:r/>
          </w:p>
        </w:tc>
        <w:tc>
          <w:tcPr>
            <w:tcW w:w="6330" w:type="dxa"/>
            <w:vAlign w:val="center"/>
            <w:textDirection w:val="lrTb"/>
            <w:noWrap w:val="false"/>
          </w:tcPr>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评委根据投标人提供的项目培训方案评分，包括1.培训内容；2.培训方式；3.培训人员；4.培训频次。 每项内容逐条阐述。</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（1）上述每项内容完整、科学性、合理性、操作性强的，得2分； </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（2）上述每项内容较完整、科学性、合理性、操作性较强的，得1分；</w:t>
            </w:r>
            <w:r/>
          </w:p>
          <w:p>
            <w:pPr>
              <w:pStyle w:val="1134"/>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（3）上述每项内容不完整、不科学合理、不具可操作性或未提供的不得分。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sz w:val="21"/>
                <w:szCs w:val="21"/>
                <w:lang w:val="en-US" w:eastAsia="zh-CN" w:bidi="ar-SA"/>
              </w:rPr>
              <w:t xml:space="preserve">投标人或所投电梯制造商提供2022年1月1日（含）以来所投电梯供货及安装项目业绩，每提供1个得3分，最多得9分。（时间以合同签订时间为准，提供合同协议书及验收合格报告）</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7"/>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7"/>
        <w:ind w:left="0" w:firstLine="0"/>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955039"/>
      <w:r/>
      <w:bookmarkEnd w:id="197"/>
      <w:r/>
      <w:bookmarkStart w:id="198" w:name="_Hlt26671244"/>
      <w:r/>
      <w:bookmarkEnd w:id="198"/>
      <w:r/>
      <w:bookmarkStart w:id="199" w:name="_Toc49090576"/>
      <w:r/>
      <w:bookmarkStart w:id="200" w:name="_Toc26554094"/>
      <w:r/>
      <w:bookmarkStart w:id="201"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131"/>
        <w:rPr>
          <w:rFonts w:ascii="宋体" w:hAnsi="宋体"/>
          <w:sz w:val="24"/>
        </w:rPr>
      </w:pPr>
      <w:r>
        <w:rPr>
          <w:rFonts w:ascii="宋体" w:hAnsi="宋体"/>
          <w:sz w:val="24"/>
        </w:rPr>
      </w:r>
      <w:r/>
    </w:p>
    <w:p>
      <w:pPr>
        <w:pStyle w:val="1131"/>
        <w:rPr>
          <w:rFonts w:ascii="宋体" w:hAnsi="宋体"/>
          <w:sz w:val="24"/>
        </w:rPr>
      </w:pPr>
      <w:r>
        <w:rPr>
          <w:rFonts w:ascii="宋体" w:hAnsi="宋体"/>
          <w:sz w:val="24"/>
        </w:rPr>
      </w:r>
      <w:r/>
    </w:p>
    <w:p>
      <w:pPr>
        <w:pStyle w:val="1131"/>
        <w:rPr>
          <w:rFonts w:ascii="宋体" w:hAnsi="宋体"/>
          <w:sz w:val="24"/>
        </w:rPr>
      </w:pPr>
      <w:r>
        <w:rPr>
          <w:rFonts w:ascii="宋体" w:hAnsi="宋体"/>
          <w:sz w:val="24"/>
        </w:rPr>
      </w:r>
      <w:r/>
    </w:p>
    <w:p>
      <w:pPr>
        <w:pStyle w:val="1131"/>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1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102"/>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133"/>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102"/>
        <w:ind w:firstLine="480"/>
        <w:spacing w:line="420" w:lineRule="exact"/>
        <w:rPr>
          <w:rFonts w:hint="eastAsia"/>
          <w:sz w:val="24"/>
          <w:szCs w:val="24"/>
        </w:rPr>
      </w:pPr>
      <w:r>
        <w:rPr>
          <w:rFonts w:hint="eastAsia"/>
          <w:sz w:val="24"/>
          <w:szCs w:val="24"/>
        </w:rPr>
      </w:r>
      <w:r/>
    </w:p>
    <w:p>
      <w:pPr>
        <w:pStyle w:val="1102"/>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102"/>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1102"/>
        <w:ind w:firstLine="480"/>
        <w:spacing w:line="480" w:lineRule="exact"/>
        <w:rPr>
          <w:rFonts w:hint="eastAsia"/>
          <w:sz w:val="24"/>
          <w:szCs w:val="24"/>
        </w:rPr>
      </w:pPr>
      <w:r>
        <w:rPr>
          <w:rFonts w:hint="eastAsia"/>
          <w:sz w:val="24"/>
          <w:szCs w:val="24"/>
        </w:rPr>
        <w:t xml:space="preserve">被授权人身份证号码：</w:t>
      </w:r>
      <w:r/>
    </w:p>
    <w:p>
      <w:pPr>
        <w:pStyle w:val="1102"/>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102"/>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102"/>
        <w:ind w:firstLine="480"/>
        <w:spacing w:line="480" w:lineRule="exact"/>
        <w:rPr>
          <w:rFonts w:hint="eastAsia"/>
          <w:sz w:val="24"/>
          <w:szCs w:val="24"/>
          <w:u w:val="single"/>
        </w:rPr>
      </w:pPr>
      <w:r>
        <w:rPr>
          <w:rFonts w:hint="eastAsia"/>
          <w:sz w:val="24"/>
          <w:szCs w:val="24"/>
        </w:rPr>
        <w:t xml:space="preserve">单位地址：</w:t>
      </w:r>
      <w:r/>
    </w:p>
    <w:p>
      <w:pPr>
        <w:pStyle w:val="1102"/>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格式3__银行出具的资信证明"/>
      <w:r/>
      <w:bookmarkEnd w:id="203"/>
      <w:r/>
      <w:bookmarkStart w:id="204" w:name="_Hlt26955070"/>
      <w:r/>
      <w:bookmarkEnd w:id="204"/>
      <w:r/>
      <w:bookmarkStart w:id="205" w:name="_Hlt26671380"/>
      <w:r/>
      <w:bookmarkEnd w:id="205"/>
      <w:r/>
      <w:r/>
    </w:p>
    <w:p>
      <w:pPr>
        <w:pStyle w:val="1020"/>
        <w:rPr>
          <w:rFonts w:hint="eastAsia"/>
          <w:i/>
          <w:sz w:val="24"/>
          <w:szCs w:val="24"/>
          <w:u w:val="single"/>
        </w:rPr>
      </w:pPr>
      <w:r>
        <w:rPr>
          <w:rFonts w:hint="eastAsia"/>
          <w:i/>
          <w:sz w:val="24"/>
          <w:szCs w:val="24"/>
          <w:u w:val="single"/>
        </w:rPr>
      </w:r>
      <w:r/>
    </w:p>
    <w:p>
      <w:pPr>
        <w:pStyle w:val="1020"/>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131"/>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10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10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104"/>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11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11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11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110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10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104"/>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10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1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1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1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10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04"/>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4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104"/>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845"/>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845"/>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107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107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107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107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107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7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107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10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10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7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107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109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1093"/>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093"/>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131"/>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6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bookmarkEnd w:id="202"/>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10"/>
      <w:footerReference w:type="default" r:id="rId16"/>
      <w:footerReference w:type="even" r:id="rId17"/>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rPr>
        <w:rStyle w:val="1145"/>
      </w:rPr>
      <w:framePr w:wrap="around" w:vAnchor="text" w:hAnchor="margin" w:xAlign="center" w:y="1"/>
    </w:pPr>
    <w:r>
      <w:fldChar w:fldCharType="begin"/>
    </w:r>
    <w:r>
      <w:rPr>
        <w:rStyle w:val="1145"/>
      </w:rPr>
      <w:instrText xml:space="preserve">PAGE  </w:instrText>
    </w:r>
    <w:r>
      <w:fldChar w:fldCharType="separate"/>
    </w:r>
    <w:r>
      <w:rPr>
        <w:rStyle w:val="1145"/>
      </w:rPr>
      <w:t xml:space="preserve">1</w:t>
    </w:r>
    <w:r>
      <w:fldChar w:fldCharType="end"/>
    </w:r>
    <w:r/>
  </w:p>
  <w:p>
    <w:pPr>
      <w:pStyle w:val="11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873" w:leader="none"/>
      </w:tabs>
    </w:pP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4"/>
                            <w:tabs>
                              <w:tab w:val="clear" w:pos="4153" w:leader="none"/>
                              <w:tab w:val="clear" w:pos="8306" w:leader="none"/>
                            </w:tabs>
                            <w:rPr>
                              <w:rStyle w:val="1145"/>
                              <w:rFonts w:ascii="宋体" w:hAnsi="宋体"/>
                            </w:rPr>
                          </w:pPr>
                          <w:r>
                            <w:rPr>
                              <w:rFonts w:ascii="宋体" w:hAnsi="宋体"/>
                            </w:rPr>
                            <w:fldChar w:fldCharType="begin"/>
                          </w:r>
                          <w:r>
                            <w:rPr>
                              <w:rStyle w:val="1145"/>
                              <w:rFonts w:ascii="宋体" w:hAnsi="宋体"/>
                            </w:rPr>
                            <w:instrText xml:space="preserve">PAGE  </w:instrText>
                          </w:r>
                          <w:r>
                            <w:rPr>
                              <w:rFonts w:ascii="宋体" w:hAnsi="宋体"/>
                            </w:rPr>
                            <w:fldChar w:fldCharType="separate"/>
                          </w:r>
                          <w:r>
                            <w:rPr>
                              <w:rStyle w:val="1145"/>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4"/>
                      <w:tabs>
                        <w:tab w:val="clear" w:pos="4153" w:leader="none"/>
                        <w:tab w:val="clear" w:pos="8306" w:leader="none"/>
                      </w:tabs>
                      <w:rPr>
                        <w:rStyle w:val="1145"/>
                        <w:rFonts w:ascii="宋体" w:hAnsi="宋体"/>
                      </w:rPr>
                    </w:pPr>
                    <w:r>
                      <w:rPr>
                        <w:rFonts w:ascii="宋体" w:hAnsi="宋体"/>
                      </w:rPr>
                      <w:fldChar w:fldCharType="begin"/>
                    </w:r>
                    <w:r>
                      <w:rPr>
                        <w:rStyle w:val="1145"/>
                        <w:rFonts w:ascii="宋体" w:hAnsi="宋体"/>
                      </w:rPr>
                      <w:instrText xml:space="preserve">PAGE  </w:instrText>
                    </w:r>
                    <w:r>
                      <w:rPr>
                        <w:rFonts w:ascii="宋体" w:hAnsi="宋体"/>
                      </w:rPr>
                      <w:fldChar w:fldCharType="separate"/>
                    </w:r>
                    <w:r>
                      <w:rPr>
                        <w:rStyle w:val="1145"/>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rPr>
                              <w:rStyle w:val="1087"/>
                              <w:rFonts w:ascii="宋体" w:hAnsi="宋体"/>
                            </w:rPr>
                          </w:pPr>
                          <w:r>
                            <w:rPr>
                              <w:rFonts w:ascii="宋体" w:hAnsi="宋体"/>
                            </w:rPr>
                            <w:fldChar w:fldCharType="begin"/>
                          </w:r>
                          <w:r>
                            <w:rPr>
                              <w:rStyle w:val="1087"/>
                              <w:rFonts w:ascii="宋体" w:hAnsi="宋体"/>
                            </w:rPr>
                            <w:instrText xml:space="preserve">PAGE  </w:instrText>
                          </w:r>
                          <w:r>
                            <w:rPr>
                              <w:rFonts w:ascii="宋体" w:hAnsi="宋体"/>
                            </w:rPr>
                            <w:fldChar w:fldCharType="separate"/>
                          </w:r>
                          <w:r>
                            <w:rPr>
                              <w:rStyle w:val="1087"/>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rPr>
                        <w:rStyle w:val="1087"/>
                        <w:rFonts w:ascii="宋体" w:hAnsi="宋体"/>
                      </w:rPr>
                    </w:pPr>
                    <w:r>
                      <w:rPr>
                        <w:rFonts w:ascii="宋体" w:hAnsi="宋体"/>
                      </w:rPr>
                      <w:fldChar w:fldCharType="begin"/>
                    </w:r>
                    <w:r>
                      <w:rPr>
                        <w:rStyle w:val="1087"/>
                        <w:rFonts w:ascii="宋体" w:hAnsi="宋体"/>
                      </w:rPr>
                      <w:instrText xml:space="preserve">PAGE  </w:instrText>
                    </w:r>
                    <w:r>
                      <w:rPr>
                        <w:rFonts w:ascii="宋体" w:hAnsi="宋体"/>
                      </w:rPr>
                      <w:fldChar w:fldCharType="separate"/>
                    </w:r>
                    <w:r>
                      <w:rPr>
                        <w:rStyle w:val="1087"/>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7"/>
      </w:rPr>
      <w:framePr w:wrap="around" w:vAnchor="text" w:hAnchor="margin" w:xAlign="center" w:y="1"/>
    </w:pPr>
    <w:r>
      <w:fldChar w:fldCharType="begin"/>
    </w:r>
    <w:r>
      <w:rPr>
        <w:rStyle w:val="1087"/>
      </w:rPr>
      <w:instrText xml:space="preserve">PAGE  </w:instrText>
    </w:r>
    <w:r>
      <w:fldChar w:fldCharType="separate"/>
    </w:r>
    <w:r>
      <w:rPr>
        <w:rStyle w:val="1087"/>
      </w:rPr>
      <w:t xml:space="preserve">1</w:t>
    </w:r>
    <w:r>
      <w:fldChar w:fldCharType="end"/>
    </w:r>
    <w:r/>
  </w:p>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4"/>
      <w:isLgl w:val="false"/>
      <w:suff w:val="nothing"/>
      <w:lvlText w:val=""/>
      <w:lvlJc w:val="left"/>
      <w:pPr>
        <w:ind w:left="0" w:firstLine="0"/>
      </w:pPr>
      <w:rPr>
        <w:rFonts w:hint="eastAsia"/>
      </w:rPr>
    </w:lvl>
    <w:lvl w:ilvl="6">
      <w:start w:val="1"/>
      <w:numFmt w:val="decimal"/>
      <w:pStyle w:val="1025"/>
      <w:isLgl w:val="false"/>
      <w:suff w:val="nothing"/>
      <w:lvlText w:val=""/>
      <w:lvlJc w:val="left"/>
      <w:pPr>
        <w:ind w:left="0" w:firstLine="0"/>
      </w:pPr>
      <w:rPr>
        <w:rFonts w:hint="eastAsia"/>
      </w:rPr>
    </w:lvl>
    <w:lvl w:ilvl="7">
      <w:start w:val="1"/>
      <w:numFmt w:val="decimal"/>
      <w:pStyle w:val="1026"/>
      <w:isLgl w:val="false"/>
      <w:suff w:val="nothing"/>
      <w:lvlText w:val=""/>
      <w:lvlJc w:val="left"/>
      <w:pPr>
        <w:ind w:left="0" w:firstLine="0"/>
      </w:pPr>
      <w:rPr>
        <w:rFonts w:hint="eastAsia"/>
      </w:rPr>
    </w:lvl>
    <w:lvl w:ilvl="8">
      <w:start w:val="1"/>
      <w:numFmt w:val="decimal"/>
      <w:pStyle w:val="1027"/>
      <w:isLgl w:val="false"/>
      <w:suff w:val="nothing"/>
      <w:lvlText w:val=""/>
      <w:lvlJc w:val="left"/>
      <w:pPr>
        <w:ind w:left="0" w:firstLine="0"/>
      </w:pPr>
      <w:rPr>
        <w:rFonts w:hint="eastAsia"/>
      </w:rPr>
    </w:lvl>
  </w:abstractNum>
  <w:abstractNum w:abstractNumId="3">
    <w:multiLevelType w:val="hybridMultilevel"/>
    <w:lvl w:ilvl="0">
      <w:start w:val="1"/>
      <w:numFmt w:val="decimal"/>
      <w:pStyle w:val="11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1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name w:val="Heading 1"/>
    <w:basedOn w:val="834"/>
    <w:next w:val="834"/>
    <w:link w:val="870"/>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1"/>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2"/>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3"/>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4"/>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5"/>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7"/>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78"/>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toc 5"/>
    <w:basedOn w:val="834"/>
    <w:next w:val="834"/>
    <w:uiPriority w:val="39"/>
    <w:unhideWhenUsed/>
    <w:qFormat/>
    <w:pPr>
      <w:ind w:left="1134" w:right="0" w:firstLine="0"/>
      <w:spacing w:after="57"/>
    </w:pPr>
  </w:style>
  <w:style w:type="paragraph" w:styleId="849">
    <w:name w:val="toc 3"/>
    <w:basedOn w:val="834"/>
    <w:next w:val="834"/>
    <w:uiPriority w:val="39"/>
    <w:unhideWhenUsed/>
    <w:qFormat/>
    <w:pPr>
      <w:ind w:left="567" w:right="0" w:firstLine="0"/>
      <w:spacing w:after="57"/>
    </w:pPr>
  </w:style>
  <w:style w:type="paragraph" w:styleId="850">
    <w:name w:val="toc 8"/>
    <w:basedOn w:val="834"/>
    <w:next w:val="834"/>
    <w:uiPriority w:val="39"/>
    <w:unhideWhenUsed/>
    <w:qFormat/>
    <w:pPr>
      <w:ind w:left="1984" w:right="0" w:firstLine="0"/>
      <w:spacing w:after="57"/>
    </w:pPr>
  </w:style>
  <w:style w:type="paragraph" w:styleId="851">
    <w:name w:val="endnote text"/>
    <w:basedOn w:val="834"/>
    <w:link w:val="1016"/>
    <w:uiPriority w:val="99"/>
    <w:semiHidden/>
    <w:unhideWhenUsed/>
    <w:qFormat/>
    <w:pPr>
      <w:spacing w:after="0" w:line="240" w:lineRule="auto"/>
    </w:pPr>
    <w:rPr>
      <w:sz w:val="20"/>
    </w:rPr>
  </w:style>
  <w:style w:type="paragraph" w:styleId="852">
    <w:name w:val="Footer"/>
    <w:basedOn w:val="834"/>
    <w:link w:val="889"/>
    <w:uiPriority w:val="99"/>
    <w:unhideWhenUsed/>
    <w:qFormat/>
    <w:pPr>
      <w:spacing w:after="0" w:line="240" w:lineRule="auto"/>
      <w:tabs>
        <w:tab w:val="center" w:pos="7143" w:leader="none"/>
        <w:tab w:val="right" w:pos="14287" w:leader="none"/>
      </w:tabs>
    </w:pPr>
  </w:style>
  <w:style w:type="paragraph" w:styleId="853">
    <w:name w:val="Header"/>
    <w:basedOn w:val="834"/>
    <w:link w:val="887"/>
    <w:uiPriority w:val="99"/>
    <w:unhideWhenUsed/>
    <w:qFormat/>
    <w:pPr>
      <w:spacing w:after="0" w:line="240" w:lineRule="auto"/>
      <w:tabs>
        <w:tab w:val="center" w:pos="7143" w:leader="none"/>
        <w:tab w:val="right" w:pos="14287" w:leader="none"/>
      </w:tabs>
    </w:pPr>
  </w:style>
  <w:style w:type="paragraph" w:styleId="854">
    <w:name w:val="toc 1"/>
    <w:basedOn w:val="834"/>
    <w:next w:val="834"/>
    <w:uiPriority w:val="39"/>
    <w:unhideWhenUsed/>
    <w:qFormat/>
    <w:pPr>
      <w:ind w:left="0" w:right="0" w:firstLine="0"/>
      <w:spacing w:after="57"/>
    </w:pPr>
  </w:style>
  <w:style w:type="paragraph" w:styleId="855">
    <w:name w:val="toc 4"/>
    <w:basedOn w:val="834"/>
    <w:next w:val="834"/>
    <w:uiPriority w:val="39"/>
    <w:unhideWhenUsed/>
    <w:qFormat/>
    <w:pPr>
      <w:ind w:left="850" w:right="0" w:firstLine="0"/>
      <w:spacing w:after="57"/>
    </w:pPr>
  </w:style>
  <w:style w:type="paragraph" w:styleId="856">
    <w:name w:val="Subtitle"/>
    <w:basedOn w:val="834"/>
    <w:next w:val="834"/>
    <w:link w:val="882"/>
    <w:uiPriority w:val="11"/>
    <w:qFormat/>
    <w:pPr>
      <w:spacing w:before="200" w:after="200"/>
    </w:pPr>
    <w:rPr>
      <w:sz w:val="24"/>
      <w:szCs w:val="24"/>
    </w:rPr>
  </w:style>
  <w:style w:type="paragraph" w:styleId="857">
    <w:name w:val="footnote text"/>
    <w:basedOn w:val="834"/>
    <w:link w:val="1015"/>
    <w:uiPriority w:val="99"/>
    <w:semiHidden/>
    <w:unhideWhenUsed/>
    <w:qFormat/>
    <w:pPr>
      <w:spacing w:after="40" w:line="240" w:lineRule="auto"/>
    </w:pPr>
    <w:rPr>
      <w:sz w:val="18"/>
    </w:rPr>
  </w:style>
  <w:style w:type="paragraph" w:styleId="858">
    <w:name w:val="toc 6"/>
    <w:basedOn w:val="834"/>
    <w:next w:val="834"/>
    <w:uiPriority w:val="39"/>
    <w:unhideWhenUsed/>
    <w:qFormat/>
    <w:pPr>
      <w:ind w:left="1417" w:right="0" w:firstLine="0"/>
      <w:spacing w:after="57"/>
    </w:pPr>
  </w:style>
  <w:style w:type="paragraph" w:styleId="859">
    <w:name w:val="table of figures"/>
    <w:basedOn w:val="834"/>
    <w:next w:val="834"/>
    <w:uiPriority w:val="99"/>
    <w:unhideWhenUsed/>
    <w:qFormat/>
    <w:pPr>
      <w:spacing w:after="0" w:afterAutospacing="0"/>
    </w:pPr>
  </w:style>
  <w:style w:type="paragraph" w:styleId="860">
    <w:name w:val="toc 2"/>
    <w:basedOn w:val="834"/>
    <w:next w:val="834"/>
    <w:uiPriority w:val="39"/>
    <w:unhideWhenUsed/>
    <w:qFormat/>
    <w:pPr>
      <w:ind w:left="283" w:right="0" w:firstLine="0"/>
      <w:spacing w:after="57"/>
    </w:pPr>
  </w:style>
  <w:style w:type="paragraph" w:styleId="861">
    <w:name w:val="toc 9"/>
    <w:basedOn w:val="834"/>
    <w:next w:val="834"/>
    <w:uiPriority w:val="39"/>
    <w:unhideWhenUsed/>
    <w:qFormat/>
    <w:pPr>
      <w:ind w:left="2268" w:right="0" w:firstLine="0"/>
      <w:spacing w:after="57"/>
    </w:pPr>
  </w:style>
  <w:style w:type="paragraph" w:styleId="862">
    <w:name w:val="Title"/>
    <w:basedOn w:val="834"/>
    <w:next w:val="834"/>
    <w:link w:val="881"/>
    <w:uiPriority w:val="10"/>
    <w:qFormat/>
    <w:pPr>
      <w:contextualSpacing/>
      <w:spacing w:before="300" w:after="200"/>
    </w:pPr>
    <w:rPr>
      <w:sz w:val="48"/>
      <w:szCs w:val="48"/>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正文首行缩进 211"/>
    <w:basedOn w:val="868"/>
    <w:next w:val="834"/>
    <w:link w:val="1031"/>
    <w:uiPriority w:val="0"/>
    <w:qFormat/>
    <w:pPr>
      <w:ind w:left="0" w:firstLine="420"/>
      <w:spacing w:after="0" w:line="360" w:lineRule="auto"/>
    </w:pPr>
    <w:rPr>
      <w:rFonts w:ascii="宋体" w:hAnsi="宋体" w:eastAsia="宋体" w:cs="Times New Roman"/>
      <w:szCs w:val="20"/>
    </w:rPr>
  </w:style>
  <w:style w:type="paragraph" w:styleId="868" w:customStyle="1">
    <w:name w:val="正文文本缩进111"/>
    <w:basedOn w:val="834"/>
    <w:next w:val="869"/>
    <w:link w:val="1030"/>
    <w:uiPriority w:val="0"/>
    <w:unhideWhenUsed/>
    <w:qFormat/>
    <w:pPr>
      <w:ind w:left="420"/>
      <w:spacing w:after="120"/>
    </w:pPr>
  </w:style>
  <w:style w:type="paragraph" w:styleId="869" w:customStyle="1">
    <w:name w:val="寄信人地址11"/>
    <w:basedOn w:val="834"/>
    <w:uiPriority w:val="0"/>
    <w:qFormat/>
    <w:rPr>
      <w:rFonts w:ascii="Arial" w:hAnsi="Arial" w:eastAsia="宋体" w:cs="宋体"/>
    </w:rPr>
  </w:style>
  <w:style w:type="character" w:styleId="870" w:customStyle="1">
    <w:name w:val="Heading 1 Char"/>
    <w:link w:val="835"/>
    <w:uiPriority w:val="9"/>
    <w:qFormat/>
    <w:rPr>
      <w:rFonts w:ascii="Arial" w:hAnsi="Arial" w:eastAsia="Arial" w:cs="Arial"/>
      <w:sz w:val="40"/>
      <w:szCs w:val="40"/>
    </w:rPr>
  </w:style>
  <w:style w:type="character" w:styleId="871" w:customStyle="1">
    <w:name w:val="Heading 2 Char"/>
    <w:link w:val="836"/>
    <w:uiPriority w:val="9"/>
    <w:qFormat/>
    <w:rPr>
      <w:rFonts w:ascii="Arial" w:hAnsi="Arial" w:eastAsia="Arial" w:cs="Arial"/>
      <w:sz w:val="34"/>
    </w:rPr>
  </w:style>
  <w:style w:type="character" w:styleId="872" w:customStyle="1">
    <w:name w:val="Heading 3 Char"/>
    <w:link w:val="837"/>
    <w:uiPriority w:val="9"/>
    <w:qFormat/>
    <w:rPr>
      <w:rFonts w:ascii="Arial" w:hAnsi="Arial" w:eastAsia="Arial" w:cs="Arial"/>
      <w:sz w:val="30"/>
      <w:szCs w:val="30"/>
    </w:rPr>
  </w:style>
  <w:style w:type="character" w:styleId="873" w:customStyle="1">
    <w:name w:val="Heading 4 Char"/>
    <w:link w:val="838"/>
    <w:uiPriority w:val="9"/>
    <w:qFormat/>
    <w:rPr>
      <w:rFonts w:ascii="Arial" w:hAnsi="Arial" w:eastAsia="Arial" w:cs="Arial"/>
      <w:b/>
      <w:bCs/>
      <w:sz w:val="26"/>
      <w:szCs w:val="26"/>
    </w:rPr>
  </w:style>
  <w:style w:type="character" w:styleId="874" w:customStyle="1">
    <w:name w:val="Heading 5 Char"/>
    <w:link w:val="839"/>
    <w:uiPriority w:val="9"/>
    <w:qFormat/>
    <w:rPr>
      <w:rFonts w:ascii="Arial" w:hAnsi="Arial" w:eastAsia="Arial" w:cs="Arial"/>
      <w:b/>
      <w:bCs/>
      <w:sz w:val="24"/>
      <w:szCs w:val="24"/>
    </w:rPr>
  </w:style>
  <w:style w:type="character" w:styleId="875" w:customStyle="1">
    <w:name w:val="Heading 6 Char"/>
    <w:link w:val="840"/>
    <w:uiPriority w:val="9"/>
    <w:qFormat/>
    <w:rPr>
      <w:rFonts w:ascii="Arial" w:hAnsi="Arial" w:eastAsia="Arial" w:cs="Arial"/>
      <w:b/>
      <w:bCs/>
      <w:sz w:val="22"/>
      <w:szCs w:val="22"/>
    </w:rPr>
  </w:style>
  <w:style w:type="character" w:styleId="876" w:customStyle="1">
    <w:name w:val="Heading 7 Char"/>
    <w:link w:val="841"/>
    <w:uiPriority w:val="9"/>
    <w:qFormat/>
    <w:rPr>
      <w:rFonts w:ascii="Arial" w:hAnsi="Arial" w:eastAsia="Arial" w:cs="Arial"/>
      <w:b/>
      <w:bCs/>
      <w:i/>
      <w:iCs/>
      <w:sz w:val="22"/>
      <w:szCs w:val="22"/>
    </w:rPr>
  </w:style>
  <w:style w:type="character" w:styleId="877" w:customStyle="1">
    <w:name w:val="Heading 8 Char"/>
    <w:link w:val="842"/>
    <w:uiPriority w:val="9"/>
    <w:qFormat/>
    <w:rPr>
      <w:rFonts w:ascii="Arial" w:hAnsi="Arial" w:eastAsia="Arial" w:cs="Arial"/>
      <w:i/>
      <w:iCs/>
      <w:sz w:val="22"/>
      <w:szCs w:val="22"/>
    </w:rPr>
  </w:style>
  <w:style w:type="character" w:styleId="878" w:customStyle="1">
    <w:name w:val="Heading 9 Char"/>
    <w:link w:val="843"/>
    <w:uiPriority w:val="9"/>
    <w:qFormat/>
    <w:rPr>
      <w:rFonts w:ascii="Arial" w:hAnsi="Arial" w:eastAsia="Arial" w:cs="Arial"/>
      <w:i/>
      <w:iCs/>
      <w:sz w:val="21"/>
      <w:szCs w:val="21"/>
    </w:rPr>
  </w:style>
  <w:style w:type="paragraph" w:styleId="879">
    <w:name w:val="List Paragraph"/>
    <w:basedOn w:val="834"/>
    <w:uiPriority w:val="34"/>
    <w:qFormat/>
    <w:pPr>
      <w:contextualSpacing/>
      <w:ind w:left="720"/>
    </w:pPr>
  </w:style>
  <w:style w:type="paragraph" w:styleId="880">
    <w:name w:val="No Spacing"/>
    <w:uiPriority w:val="1"/>
    <w:qFormat/>
    <w:pPr>
      <w:spacing w:before="0" w:after="0" w:line="240" w:lineRule="auto"/>
    </w:pPr>
    <w:rPr>
      <w:rFonts w:hint="default" w:ascii="Times New Roman" w:hAnsi="Times New Roman" w:eastAsia="宋体" w:cs="Times New Roman"/>
    </w:rPr>
  </w:style>
  <w:style w:type="character" w:styleId="881" w:customStyle="1">
    <w:name w:val="Title Char"/>
    <w:link w:val="862"/>
    <w:uiPriority w:val="10"/>
    <w:qFormat/>
    <w:rPr>
      <w:sz w:val="48"/>
      <w:szCs w:val="48"/>
    </w:rPr>
  </w:style>
  <w:style w:type="character" w:styleId="882" w:customStyle="1">
    <w:name w:val="Subtitle Char"/>
    <w:link w:val="856"/>
    <w:uiPriority w:val="11"/>
    <w:qFormat/>
    <w:rPr>
      <w:sz w:val="24"/>
      <w:szCs w:val="24"/>
    </w:rPr>
  </w:style>
  <w:style w:type="paragraph" w:styleId="883">
    <w:name w:val="Quote"/>
    <w:basedOn w:val="834"/>
    <w:next w:val="834"/>
    <w:link w:val="884"/>
    <w:uiPriority w:val="29"/>
    <w:qFormat/>
    <w:pPr>
      <w:ind w:left="720" w:right="720"/>
    </w:pPr>
    <w:rPr>
      <w:i/>
    </w:rPr>
  </w:style>
  <w:style w:type="character" w:styleId="884" w:customStyle="1">
    <w:name w:val="Quote Char"/>
    <w:link w:val="883"/>
    <w:uiPriority w:val="29"/>
    <w:qFormat/>
    <w:rPr>
      <w:i/>
    </w:rPr>
  </w:style>
  <w:style w:type="paragraph" w:styleId="885">
    <w:name w:val="Intense Quote"/>
    <w:basedOn w:val="834"/>
    <w:next w:val="834"/>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Intense Quote Char"/>
    <w:link w:val="885"/>
    <w:uiPriority w:val="30"/>
    <w:qFormat/>
    <w:rPr>
      <w:i/>
    </w:rPr>
  </w:style>
  <w:style w:type="character" w:styleId="887" w:customStyle="1">
    <w:name w:val="Header Char"/>
    <w:link w:val="853"/>
    <w:uiPriority w:val="99"/>
    <w:qFormat/>
  </w:style>
  <w:style w:type="character" w:styleId="888" w:customStyle="1">
    <w:name w:val="Footer Char"/>
    <w:link w:val="852"/>
    <w:uiPriority w:val="99"/>
    <w:qFormat/>
  </w:style>
  <w:style w:type="character" w:styleId="889" w:customStyle="1">
    <w:name w:val="Caption Char"/>
    <w:link w:val="852"/>
    <w:uiPriority w:val="99"/>
    <w:qFormat/>
  </w:style>
  <w:style w:type="table" w:styleId="8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link w:val="857"/>
    <w:uiPriority w:val="99"/>
    <w:qFormat/>
    <w:rPr>
      <w:sz w:val="18"/>
    </w:rPr>
  </w:style>
  <w:style w:type="character" w:styleId="1016" w:customStyle="1">
    <w:name w:val="Endnote Text Char"/>
    <w:link w:val="851"/>
    <w:uiPriority w:val="99"/>
    <w:qFormat/>
    <w:rPr>
      <w:sz w:val="20"/>
    </w:rPr>
  </w:style>
  <w:style w:type="paragraph" w:styleId="1017" w:customStyle="1">
    <w:name w:val="TOC Heading"/>
    <w:uiPriority w:val="39"/>
    <w:unhideWhenUsed/>
    <w:qFormat/>
    <w:rPr>
      <w:rFonts w:hint="default" w:ascii="Times New Roman" w:hAnsi="Times New Roman" w:eastAsia="宋体" w:cs="Times New Roman"/>
    </w:rPr>
  </w:style>
  <w:style w:type="paragraph" w:styleId="1018" w:customStyle="1">
    <w:name w:val="标题 11"/>
    <w:basedOn w:val="834"/>
    <w:next w:val="834"/>
    <w:link w:val="1032"/>
    <w:uiPriority w:val="0"/>
    <w:qFormat/>
    <w:pPr>
      <w:jc w:val="center"/>
      <w:keepNext/>
      <w:outlineLvl w:val="0"/>
    </w:pPr>
    <w:rPr>
      <w:rFonts w:ascii="楷体_GB2312" w:hAnsi="Times New Roman" w:eastAsia="楷体_GB2312" w:cs="Times New Roman"/>
      <w:sz w:val="28"/>
      <w:szCs w:val="28"/>
    </w:rPr>
  </w:style>
  <w:style w:type="paragraph" w:styleId="1019" w:customStyle="1">
    <w:name w:val="标题 21"/>
    <w:basedOn w:val="834"/>
    <w:next w:val="1020"/>
    <w:link w:val="10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0" w:customStyle="1">
    <w:name w:val="正文缩进1"/>
    <w:basedOn w:val="834"/>
    <w:link w:val="1034"/>
    <w:uiPriority w:val="0"/>
    <w:qFormat/>
    <w:pPr>
      <w:ind w:firstLine="420"/>
    </w:pPr>
    <w:rPr>
      <w:szCs w:val="21"/>
    </w:rPr>
  </w:style>
  <w:style w:type="paragraph" w:styleId="1021" w:customStyle="1">
    <w:name w:val="标题 31"/>
    <w:basedOn w:val="834"/>
    <w:next w:val="1020"/>
    <w:link w:val="103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2" w:customStyle="1">
    <w:name w:val="标题 41"/>
    <w:basedOn w:val="834"/>
    <w:next w:val="1020"/>
    <w:link w:val="1036"/>
    <w:uiPriority w:val="0"/>
    <w:qFormat/>
    <w:pPr>
      <w:keepLines/>
      <w:keepNext/>
      <w:spacing w:before="280" w:after="290" w:line="376" w:lineRule="auto"/>
      <w:outlineLvl w:val="3"/>
    </w:pPr>
    <w:rPr>
      <w:rFonts w:ascii="Arial" w:hAnsi="Arial" w:eastAsia="黑体" w:cs="Arial"/>
      <w:b/>
      <w:bCs/>
      <w:sz w:val="28"/>
      <w:szCs w:val="28"/>
    </w:rPr>
  </w:style>
  <w:style w:type="paragraph" w:styleId="1023" w:customStyle="1">
    <w:name w:val="标题 51"/>
    <w:basedOn w:val="834"/>
    <w:next w:val="1020"/>
    <w:link w:val="1037"/>
    <w:uiPriority w:val="0"/>
    <w:qFormat/>
    <w:pPr>
      <w:keepNext/>
      <w:outlineLvl w:val="4"/>
    </w:pPr>
    <w:rPr>
      <w:rFonts w:ascii="宋体" w:hAnsi="Times New Roman" w:eastAsia="宋体" w:cs="Times New Roman"/>
      <w:color w:val="000000"/>
      <w:sz w:val="28"/>
      <w:szCs w:val="28"/>
    </w:rPr>
  </w:style>
  <w:style w:type="paragraph" w:styleId="1024" w:customStyle="1">
    <w:name w:val="标题 61"/>
    <w:basedOn w:val="834"/>
    <w:next w:val="834"/>
    <w:link w:val="103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25" w:customStyle="1">
    <w:name w:val="标题 71"/>
    <w:basedOn w:val="834"/>
    <w:next w:val="834"/>
    <w:link w:val="103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26" w:customStyle="1">
    <w:name w:val="标题 81"/>
    <w:basedOn w:val="834"/>
    <w:next w:val="834"/>
    <w:link w:val="104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27" w:customStyle="1">
    <w:name w:val="标题 91"/>
    <w:basedOn w:val="834"/>
    <w:next w:val="834"/>
    <w:link w:val="104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28" w:customStyle="1">
    <w:name w:val="默认段落字体1"/>
    <w:link w:val="834"/>
    <w:uiPriority w:val="1"/>
    <w:unhideWhenUsed/>
    <w:qFormat/>
  </w:style>
  <w:style w:type="table" w:styleId="1029"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30" w:customStyle="1">
    <w:name w:val="正文文本缩进 Char"/>
    <w:basedOn w:val="1028"/>
    <w:link w:val="868"/>
    <w:uiPriority w:val="99"/>
    <w:semiHidden/>
    <w:qFormat/>
  </w:style>
  <w:style w:type="character" w:styleId="1031" w:customStyle="1">
    <w:name w:val="正文首行缩进 2 Char"/>
    <w:link w:val="867"/>
    <w:uiPriority w:val="0"/>
    <w:qFormat/>
    <w:rPr>
      <w:rFonts w:ascii="宋体" w:hAnsi="宋体" w:eastAsia="宋体" w:cs="Times New Roman"/>
      <w:szCs w:val="20"/>
    </w:rPr>
  </w:style>
  <w:style w:type="character" w:styleId="1032" w:customStyle="1">
    <w:name w:val="标题 1 Char"/>
    <w:link w:val="1018"/>
    <w:uiPriority w:val="0"/>
    <w:qFormat/>
    <w:rPr>
      <w:rFonts w:ascii="楷体_GB2312" w:hAnsi="Times New Roman" w:eastAsia="楷体_GB2312" w:cs="Times New Roman"/>
      <w:sz w:val="28"/>
      <w:szCs w:val="28"/>
    </w:rPr>
  </w:style>
  <w:style w:type="character" w:styleId="1033" w:customStyle="1">
    <w:name w:val="标题 2 Char"/>
    <w:link w:val="1019"/>
    <w:uiPriority w:val="0"/>
    <w:qFormat/>
    <w:rPr>
      <w:rFonts w:ascii="Arial" w:hAnsi="Arial" w:eastAsia="幼圆" w:cs="Arial"/>
      <w:b/>
      <w:bCs/>
      <w:sz w:val="44"/>
      <w:szCs w:val="44"/>
    </w:rPr>
  </w:style>
  <w:style w:type="character" w:styleId="1034" w:customStyle="1">
    <w:name w:val="正文缩进 Char"/>
    <w:link w:val="1020"/>
    <w:uiPriority w:val="0"/>
    <w:qFormat/>
    <w:rPr>
      <w:szCs w:val="21"/>
    </w:rPr>
  </w:style>
  <w:style w:type="character" w:styleId="1035" w:customStyle="1">
    <w:name w:val="标题 3 Char"/>
    <w:link w:val="1021"/>
    <w:uiPriority w:val="0"/>
    <w:qFormat/>
    <w:rPr>
      <w:rFonts w:ascii="Times New Roman" w:hAnsi="Times New Roman" w:eastAsia="宋体" w:cs="Times New Roman"/>
      <w:b/>
      <w:bCs/>
      <w:sz w:val="32"/>
      <w:szCs w:val="32"/>
    </w:rPr>
  </w:style>
  <w:style w:type="character" w:styleId="1036" w:customStyle="1">
    <w:name w:val="标题 4 Char"/>
    <w:link w:val="1022"/>
    <w:uiPriority w:val="0"/>
    <w:qFormat/>
    <w:rPr>
      <w:rFonts w:ascii="Arial" w:hAnsi="Arial" w:eastAsia="黑体" w:cs="Arial"/>
      <w:b/>
      <w:bCs/>
      <w:sz w:val="28"/>
      <w:szCs w:val="28"/>
    </w:rPr>
  </w:style>
  <w:style w:type="character" w:styleId="1037" w:customStyle="1">
    <w:name w:val="标题 5 Char"/>
    <w:link w:val="1023"/>
    <w:uiPriority w:val="0"/>
    <w:qFormat/>
    <w:rPr>
      <w:rFonts w:ascii="宋体" w:hAnsi="Times New Roman" w:eastAsia="宋体" w:cs="Times New Roman"/>
      <w:color w:val="000000"/>
      <w:sz w:val="28"/>
      <w:szCs w:val="28"/>
    </w:rPr>
  </w:style>
  <w:style w:type="character" w:styleId="1038" w:customStyle="1">
    <w:name w:val="标题 6 Char"/>
    <w:link w:val="1024"/>
    <w:uiPriority w:val="0"/>
    <w:qFormat/>
    <w:rPr>
      <w:rFonts w:ascii="Arial" w:hAnsi="Arial" w:eastAsia="黑体" w:cs="Times New Roman"/>
      <w:b/>
      <w:bCs/>
      <w:sz w:val="24"/>
      <w:szCs w:val="24"/>
    </w:rPr>
  </w:style>
  <w:style w:type="character" w:styleId="1039" w:customStyle="1">
    <w:name w:val="标题 7 Char"/>
    <w:link w:val="1025"/>
    <w:uiPriority w:val="0"/>
    <w:qFormat/>
    <w:rPr>
      <w:rFonts w:ascii="Times New Roman" w:hAnsi="Times New Roman" w:eastAsia="宋体" w:cs="Times New Roman"/>
      <w:b/>
      <w:bCs/>
      <w:sz w:val="24"/>
      <w:szCs w:val="24"/>
    </w:rPr>
  </w:style>
  <w:style w:type="character" w:styleId="1040" w:customStyle="1">
    <w:name w:val="标题 8 Char"/>
    <w:link w:val="1026"/>
    <w:uiPriority w:val="0"/>
    <w:qFormat/>
    <w:rPr>
      <w:rFonts w:ascii="Arial" w:hAnsi="Arial" w:eastAsia="黑体" w:cs="Times New Roman"/>
      <w:sz w:val="24"/>
      <w:szCs w:val="24"/>
    </w:rPr>
  </w:style>
  <w:style w:type="character" w:styleId="1041" w:customStyle="1">
    <w:name w:val="标题 9 Char"/>
    <w:link w:val="1027"/>
    <w:uiPriority w:val="0"/>
    <w:qFormat/>
    <w:rPr>
      <w:rFonts w:ascii="Arial" w:hAnsi="Arial" w:eastAsia="黑体" w:cs="Times New Roman"/>
      <w:szCs w:val="21"/>
    </w:rPr>
  </w:style>
  <w:style w:type="paragraph" w:styleId="1042" w:customStyle="1">
    <w:name w:val="列表 31"/>
    <w:basedOn w:val="834"/>
    <w:uiPriority w:val="0"/>
    <w:qFormat/>
    <w:pPr>
      <w:ind w:left="100" w:hanging="200"/>
    </w:pPr>
    <w:rPr>
      <w:rFonts w:ascii="Times New Roman" w:hAnsi="Times New Roman" w:eastAsia="宋体" w:cs="Times New Roman"/>
      <w:szCs w:val="21"/>
    </w:rPr>
  </w:style>
  <w:style w:type="paragraph" w:styleId="1043" w:customStyle="1">
    <w:name w:val="目录 71"/>
    <w:basedOn w:val="834"/>
    <w:next w:val="834"/>
    <w:uiPriority w:val="0"/>
    <w:semiHidden/>
    <w:qFormat/>
    <w:pPr>
      <w:ind w:left="1260"/>
      <w:jc w:val="left"/>
    </w:pPr>
    <w:rPr>
      <w:rFonts w:ascii="Times New Roman" w:hAnsi="Times New Roman" w:eastAsia="宋体" w:cs="Times New Roman"/>
      <w:szCs w:val="21"/>
    </w:rPr>
  </w:style>
  <w:style w:type="paragraph" w:styleId="1044" w:customStyle="1">
    <w:name w:val="文档结构图1"/>
    <w:basedOn w:val="834"/>
    <w:link w:val="1045"/>
    <w:uiPriority w:val="0"/>
    <w:semiHidden/>
    <w:qFormat/>
    <w:pPr>
      <w:shd w:val="clear" w:color="auto" w:fill="000080"/>
    </w:pPr>
    <w:rPr>
      <w:rFonts w:ascii="Times New Roman" w:hAnsi="Times New Roman" w:eastAsia="宋体" w:cs="Times New Roman"/>
      <w:szCs w:val="21"/>
    </w:rPr>
  </w:style>
  <w:style w:type="character" w:styleId="1045" w:customStyle="1">
    <w:name w:val="文档结构图 Char"/>
    <w:link w:val="1044"/>
    <w:uiPriority w:val="0"/>
    <w:semiHidden/>
    <w:qFormat/>
    <w:rPr>
      <w:rFonts w:ascii="Times New Roman" w:hAnsi="Times New Roman" w:eastAsia="宋体" w:cs="Times New Roman"/>
      <w:szCs w:val="21"/>
      <w:shd w:val="clear" w:color="auto" w:fill="000080"/>
    </w:rPr>
  </w:style>
  <w:style w:type="paragraph" w:styleId="1046" w:customStyle="1">
    <w:name w:val="批注文字1"/>
    <w:basedOn w:val="834"/>
    <w:link w:val="1091"/>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1047" w:customStyle="1">
    <w:name w:val="批注文字 Char"/>
    <w:basedOn w:val="1028"/>
    <w:link w:val="1046"/>
    <w:uiPriority w:val="99"/>
    <w:semiHidden/>
    <w:qFormat/>
  </w:style>
  <w:style w:type="paragraph" w:styleId="1048" w:customStyle="1">
    <w:name w:val="正文文本 31"/>
    <w:basedOn w:val="834"/>
    <w:link w:val="1049"/>
    <w:uiPriority w:val="0"/>
    <w:qFormat/>
    <w:rPr>
      <w:rFonts w:ascii="仿宋_GB2312" w:hAnsi="Arial" w:eastAsia="仿宋_GB2312" w:cs="Times New Roman"/>
      <w:sz w:val="32"/>
      <w:szCs w:val="32"/>
    </w:rPr>
  </w:style>
  <w:style w:type="character" w:styleId="1049" w:customStyle="1">
    <w:name w:val="正文文本 3 Char"/>
    <w:link w:val="1048"/>
    <w:uiPriority w:val="0"/>
    <w:qFormat/>
    <w:rPr>
      <w:rFonts w:ascii="仿宋_GB2312" w:hAnsi="Arial" w:eastAsia="仿宋_GB2312" w:cs="Times New Roman"/>
      <w:sz w:val="32"/>
      <w:szCs w:val="32"/>
    </w:rPr>
  </w:style>
  <w:style w:type="paragraph" w:styleId="1050" w:customStyle="1">
    <w:name w:val="正文文本11"/>
    <w:basedOn w:val="834"/>
    <w:link w:val="1051"/>
    <w:uiPriority w:val="0"/>
    <w:qFormat/>
    <w:rPr>
      <w:rFonts w:ascii="楷体_GB2312" w:hAnsi="Arial" w:eastAsia="楷体_GB2312" w:cs="Times New Roman"/>
      <w:sz w:val="28"/>
      <w:szCs w:val="28"/>
    </w:rPr>
  </w:style>
  <w:style w:type="character" w:styleId="1051" w:customStyle="1">
    <w:name w:val="正文文本 Char"/>
    <w:link w:val="1050"/>
    <w:uiPriority w:val="0"/>
    <w:qFormat/>
    <w:rPr>
      <w:rFonts w:ascii="楷体_GB2312" w:hAnsi="Arial" w:eastAsia="楷体_GB2312" w:cs="Times New Roman"/>
      <w:sz w:val="28"/>
      <w:szCs w:val="28"/>
    </w:rPr>
  </w:style>
  <w:style w:type="paragraph" w:styleId="1052" w:customStyle="1">
    <w:name w:val="列表 21"/>
    <w:basedOn w:val="834"/>
    <w:uiPriority w:val="0"/>
    <w:qFormat/>
    <w:pPr>
      <w:ind w:left="100" w:hanging="200"/>
    </w:pPr>
    <w:rPr>
      <w:rFonts w:ascii="Times New Roman" w:hAnsi="Times New Roman" w:eastAsia="宋体" w:cs="Times New Roman"/>
      <w:szCs w:val="21"/>
    </w:rPr>
  </w:style>
  <w:style w:type="paragraph" w:styleId="1053" w:customStyle="1">
    <w:name w:val="目录 51"/>
    <w:basedOn w:val="834"/>
    <w:next w:val="834"/>
    <w:uiPriority w:val="0"/>
    <w:semiHidden/>
    <w:qFormat/>
    <w:pPr>
      <w:ind w:left="840"/>
      <w:jc w:val="left"/>
    </w:pPr>
    <w:rPr>
      <w:rFonts w:ascii="Times New Roman" w:hAnsi="Times New Roman" w:eastAsia="宋体" w:cs="Times New Roman"/>
      <w:szCs w:val="21"/>
    </w:rPr>
  </w:style>
  <w:style w:type="paragraph" w:styleId="1054" w:customStyle="1">
    <w:name w:val="目录 31"/>
    <w:basedOn w:val="834"/>
    <w:next w:val="834"/>
    <w:uiPriority w:val="0"/>
    <w:semiHidden/>
    <w:qFormat/>
    <w:pPr>
      <w:ind w:left="420"/>
      <w:jc w:val="left"/>
    </w:pPr>
    <w:rPr>
      <w:rFonts w:ascii="Times New Roman" w:hAnsi="Times New Roman" w:eastAsia="宋体" w:cs="Times New Roman"/>
      <w:i/>
      <w:iCs/>
      <w:szCs w:val="24"/>
    </w:rPr>
  </w:style>
  <w:style w:type="paragraph" w:styleId="1055" w:customStyle="1">
    <w:name w:val="纯文本1"/>
    <w:basedOn w:val="834"/>
    <w:link w:val="1056"/>
    <w:uiPriority w:val="0"/>
    <w:qFormat/>
    <w:rPr>
      <w:rFonts w:ascii="宋体" w:hAnsi="Courier New" w:eastAsia="宋体" w:cs="Courier New"/>
      <w:szCs w:val="21"/>
    </w:rPr>
  </w:style>
  <w:style w:type="character" w:styleId="1056" w:customStyle="1">
    <w:name w:val="纯文本 Char"/>
    <w:link w:val="1055"/>
    <w:uiPriority w:val="0"/>
    <w:qFormat/>
    <w:rPr>
      <w:rFonts w:ascii="宋体" w:hAnsi="Courier New" w:eastAsia="宋体" w:cs="Courier New"/>
      <w:szCs w:val="21"/>
    </w:rPr>
  </w:style>
  <w:style w:type="paragraph" w:styleId="1057" w:customStyle="1">
    <w:name w:val="目录 81"/>
    <w:basedOn w:val="834"/>
    <w:next w:val="834"/>
    <w:uiPriority w:val="0"/>
    <w:semiHidden/>
    <w:qFormat/>
    <w:pPr>
      <w:ind w:left="1470"/>
      <w:jc w:val="left"/>
    </w:pPr>
    <w:rPr>
      <w:rFonts w:ascii="Times New Roman" w:hAnsi="Times New Roman" w:eastAsia="宋体" w:cs="Times New Roman"/>
      <w:szCs w:val="21"/>
    </w:rPr>
  </w:style>
  <w:style w:type="paragraph" w:styleId="1058" w:customStyle="1">
    <w:name w:val="日期1"/>
    <w:basedOn w:val="834"/>
    <w:next w:val="834"/>
    <w:link w:val="1059"/>
    <w:uiPriority w:val="0"/>
    <w:qFormat/>
    <w:rPr>
      <w:rFonts w:ascii="Times New Roman" w:hAnsi="Times New Roman" w:eastAsia="宋体" w:cs="Times New Roman"/>
      <w:sz w:val="24"/>
      <w:szCs w:val="24"/>
    </w:rPr>
  </w:style>
  <w:style w:type="character" w:styleId="1059" w:customStyle="1">
    <w:name w:val="日期 Char"/>
    <w:link w:val="1058"/>
    <w:uiPriority w:val="0"/>
    <w:qFormat/>
    <w:rPr>
      <w:rFonts w:ascii="Times New Roman" w:hAnsi="Times New Roman" w:eastAsia="宋体" w:cs="Times New Roman"/>
      <w:sz w:val="24"/>
      <w:szCs w:val="24"/>
    </w:rPr>
  </w:style>
  <w:style w:type="paragraph" w:styleId="1060" w:customStyle="1">
    <w:name w:val="正文文本缩进 21"/>
    <w:basedOn w:val="834"/>
    <w:link w:val="1061"/>
    <w:uiPriority w:val="0"/>
    <w:qFormat/>
    <w:pPr>
      <w:ind w:left="630" w:firstLine="645"/>
    </w:pPr>
    <w:rPr>
      <w:rFonts w:ascii="Arial" w:hAnsi="Arial" w:eastAsia="仿宋_GB2312" w:cs="Arial"/>
      <w:sz w:val="32"/>
      <w:szCs w:val="32"/>
    </w:rPr>
  </w:style>
  <w:style w:type="character" w:styleId="1061" w:customStyle="1">
    <w:name w:val="正文文本缩进 2 Char"/>
    <w:link w:val="1060"/>
    <w:uiPriority w:val="0"/>
    <w:qFormat/>
    <w:rPr>
      <w:rFonts w:ascii="Arial" w:hAnsi="Arial" w:eastAsia="仿宋_GB2312" w:cs="Arial"/>
      <w:sz w:val="32"/>
      <w:szCs w:val="32"/>
    </w:rPr>
  </w:style>
  <w:style w:type="paragraph" w:styleId="1062" w:customStyle="1">
    <w:name w:val="批注框文本1"/>
    <w:basedOn w:val="834"/>
    <w:link w:val="1063"/>
    <w:uiPriority w:val="0"/>
    <w:semiHidden/>
    <w:qFormat/>
    <w:rPr>
      <w:rFonts w:ascii="Times New Roman" w:hAnsi="Times New Roman" w:eastAsia="宋体" w:cs="Times New Roman"/>
      <w:sz w:val="18"/>
      <w:szCs w:val="18"/>
    </w:rPr>
  </w:style>
  <w:style w:type="character" w:styleId="1063" w:customStyle="1">
    <w:name w:val="批注框文本 Char"/>
    <w:link w:val="1062"/>
    <w:uiPriority w:val="0"/>
    <w:semiHidden/>
    <w:qFormat/>
    <w:rPr>
      <w:rFonts w:ascii="Times New Roman" w:hAnsi="Times New Roman" w:eastAsia="宋体" w:cs="Times New Roman"/>
      <w:sz w:val="18"/>
      <w:szCs w:val="18"/>
    </w:rPr>
  </w:style>
  <w:style w:type="paragraph" w:styleId="1064" w:customStyle="1">
    <w:name w:val="页脚11"/>
    <w:basedOn w:val="834"/>
    <w:link w:val="106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65" w:customStyle="1">
    <w:name w:val="页脚 Char"/>
    <w:link w:val="1064"/>
    <w:uiPriority w:val="0"/>
    <w:qFormat/>
    <w:rPr>
      <w:rFonts w:ascii="Times New Roman" w:hAnsi="Times New Roman" w:eastAsia="宋体" w:cs="Times New Roman"/>
      <w:sz w:val="18"/>
      <w:szCs w:val="18"/>
    </w:rPr>
  </w:style>
  <w:style w:type="paragraph" w:styleId="1066" w:customStyle="1">
    <w:name w:val="页眉11"/>
    <w:basedOn w:val="834"/>
    <w:link w:val="106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67" w:customStyle="1">
    <w:name w:val="页眉 Char"/>
    <w:link w:val="1066"/>
    <w:uiPriority w:val="0"/>
    <w:qFormat/>
    <w:rPr>
      <w:rFonts w:ascii="Times New Roman" w:hAnsi="Times New Roman" w:eastAsia="宋体" w:cs="Times New Roman"/>
      <w:sz w:val="18"/>
      <w:szCs w:val="18"/>
    </w:rPr>
  </w:style>
  <w:style w:type="paragraph" w:styleId="1068" w:customStyle="1">
    <w:name w:val="目录 11"/>
    <w:basedOn w:val="834"/>
    <w:next w:val="83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69" w:customStyle="1">
    <w:name w:val="目录 41"/>
    <w:basedOn w:val="834"/>
    <w:next w:val="834"/>
    <w:uiPriority w:val="0"/>
    <w:semiHidden/>
    <w:qFormat/>
    <w:pPr>
      <w:ind w:left="630"/>
      <w:jc w:val="left"/>
    </w:pPr>
    <w:rPr>
      <w:rFonts w:ascii="Times New Roman" w:hAnsi="Times New Roman" w:eastAsia="宋体" w:cs="Times New Roman"/>
      <w:szCs w:val="21"/>
    </w:rPr>
  </w:style>
  <w:style w:type="paragraph" w:styleId="1070" w:customStyle="1">
    <w:name w:val="列表1"/>
    <w:basedOn w:val="834"/>
    <w:uiPriority w:val="0"/>
    <w:qFormat/>
    <w:pPr>
      <w:ind w:left="200" w:hanging="200"/>
    </w:pPr>
    <w:rPr>
      <w:rFonts w:ascii="Times New Roman" w:hAnsi="Times New Roman" w:eastAsia="宋体" w:cs="Times New Roman"/>
      <w:szCs w:val="21"/>
    </w:rPr>
  </w:style>
  <w:style w:type="paragraph" w:styleId="1071" w:customStyle="1">
    <w:name w:val="目录 61"/>
    <w:basedOn w:val="834"/>
    <w:next w:val="834"/>
    <w:uiPriority w:val="0"/>
    <w:semiHidden/>
    <w:qFormat/>
    <w:pPr>
      <w:ind w:left="1050"/>
      <w:jc w:val="left"/>
    </w:pPr>
    <w:rPr>
      <w:rFonts w:ascii="Times New Roman" w:hAnsi="Times New Roman" w:eastAsia="宋体" w:cs="Times New Roman"/>
      <w:szCs w:val="21"/>
    </w:rPr>
  </w:style>
  <w:style w:type="paragraph" w:styleId="1072" w:customStyle="1">
    <w:name w:val="正文文本缩进 31"/>
    <w:basedOn w:val="834"/>
    <w:link w:val="1073"/>
    <w:uiPriority w:val="0"/>
    <w:qFormat/>
    <w:pPr>
      <w:ind w:left="645" w:firstLine="645"/>
    </w:pPr>
    <w:rPr>
      <w:rFonts w:ascii="Arial" w:hAnsi="Arial" w:eastAsia="仿宋_GB2312" w:cs="Arial"/>
      <w:color w:val="ffff00"/>
      <w:sz w:val="32"/>
      <w:szCs w:val="32"/>
    </w:rPr>
  </w:style>
  <w:style w:type="character" w:styleId="1073" w:customStyle="1">
    <w:name w:val="正文文本缩进 3 Char"/>
    <w:link w:val="1072"/>
    <w:uiPriority w:val="0"/>
    <w:qFormat/>
    <w:rPr>
      <w:rFonts w:ascii="Arial" w:hAnsi="Arial" w:eastAsia="仿宋_GB2312" w:cs="Arial"/>
      <w:color w:val="ffff00"/>
      <w:sz w:val="32"/>
      <w:szCs w:val="32"/>
    </w:rPr>
  </w:style>
  <w:style w:type="paragraph" w:styleId="1074" w:customStyle="1">
    <w:name w:val="图表目录1"/>
    <w:basedOn w:val="834"/>
    <w:next w:val="834"/>
    <w:uiPriority w:val="0"/>
    <w:semiHidden/>
    <w:qFormat/>
    <w:pPr>
      <w:ind w:left="840" w:hanging="420"/>
    </w:pPr>
    <w:rPr>
      <w:rFonts w:ascii="Times New Roman" w:hAnsi="Times New Roman" w:eastAsia="宋体" w:cs="Times New Roman"/>
      <w:szCs w:val="21"/>
    </w:rPr>
  </w:style>
  <w:style w:type="paragraph" w:styleId="1075" w:customStyle="1">
    <w:name w:val="目录 21"/>
    <w:basedOn w:val="834"/>
    <w:next w:val="834"/>
    <w:uiPriority w:val="0"/>
    <w:semiHidden/>
    <w:qFormat/>
    <w:pPr>
      <w:ind w:left="210"/>
      <w:jc w:val="left"/>
    </w:pPr>
    <w:rPr>
      <w:rFonts w:ascii="Times New Roman" w:hAnsi="Times New Roman" w:eastAsia="宋体" w:cs="Times New Roman"/>
      <w:smallCaps/>
      <w:szCs w:val="24"/>
    </w:rPr>
  </w:style>
  <w:style w:type="paragraph" w:styleId="1076" w:customStyle="1">
    <w:name w:val="目录 91"/>
    <w:basedOn w:val="834"/>
    <w:next w:val="834"/>
    <w:uiPriority w:val="0"/>
    <w:semiHidden/>
    <w:qFormat/>
    <w:pPr>
      <w:ind w:left="1680"/>
      <w:jc w:val="left"/>
    </w:pPr>
    <w:rPr>
      <w:rFonts w:ascii="Times New Roman" w:hAnsi="Times New Roman" w:eastAsia="宋体" w:cs="Times New Roman"/>
      <w:szCs w:val="21"/>
    </w:rPr>
  </w:style>
  <w:style w:type="paragraph" w:styleId="1077" w:customStyle="1">
    <w:name w:val="正文文本 21"/>
    <w:basedOn w:val="834"/>
    <w:link w:val="1078"/>
    <w:uiPriority w:val="0"/>
    <w:qFormat/>
    <w:pPr>
      <w:jc w:val="center"/>
      <w:widowControl/>
    </w:pPr>
    <w:rPr>
      <w:rFonts w:ascii="楷体_GB2312" w:hAnsi="Times New Roman" w:eastAsia="楷体_GB2312" w:cs="Times New Roman"/>
      <w:sz w:val="28"/>
      <w:szCs w:val="28"/>
    </w:rPr>
  </w:style>
  <w:style w:type="character" w:styleId="1078" w:customStyle="1">
    <w:name w:val="正文文本 2 Char"/>
    <w:link w:val="1077"/>
    <w:uiPriority w:val="0"/>
    <w:qFormat/>
    <w:rPr>
      <w:rFonts w:ascii="楷体_GB2312" w:hAnsi="Times New Roman" w:eastAsia="楷体_GB2312" w:cs="Times New Roman"/>
      <w:sz w:val="28"/>
      <w:szCs w:val="28"/>
    </w:rPr>
  </w:style>
  <w:style w:type="paragraph" w:styleId="1079" w:customStyle="1">
    <w:name w:val="普通(网站)1"/>
    <w:basedOn w:val="834"/>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索引 11"/>
    <w:basedOn w:val="834"/>
    <w:next w:val="834"/>
    <w:uiPriority w:val="0"/>
    <w:semiHidden/>
    <w:qFormat/>
    <w:pPr>
      <w:spacing w:line="240" w:lineRule="atLeast"/>
    </w:pPr>
    <w:rPr>
      <w:rFonts w:ascii="Times New Roman" w:hAnsi="Times New Roman" w:eastAsia="宋体" w:cs="Times New Roman"/>
      <w:b/>
      <w:bCs/>
      <w:szCs w:val="21"/>
    </w:rPr>
  </w:style>
  <w:style w:type="paragraph" w:styleId="1081" w:customStyle="1">
    <w:name w:val="批注主题1"/>
    <w:basedOn w:val="1046"/>
    <w:next w:val="1046"/>
    <w:link w:val="1082"/>
    <w:uiPriority w:val="0"/>
    <w:semiHidden/>
    <w:qFormat/>
    <w:rPr>
      <w:rFonts w:ascii="Times New Roman" w:hAnsi="Times New Roman" w:eastAsia="宋体" w:cs="Times New Roman"/>
      <w:b/>
      <w:bCs/>
      <w:szCs w:val="21"/>
    </w:rPr>
  </w:style>
  <w:style w:type="character" w:styleId="1082" w:customStyle="1">
    <w:name w:val="批注主题 Char"/>
    <w:link w:val="1081"/>
    <w:uiPriority w:val="0"/>
    <w:semiHidden/>
    <w:qFormat/>
    <w:rPr>
      <w:rFonts w:ascii="Times New Roman" w:hAnsi="Times New Roman" w:eastAsia="宋体" w:cs="Times New Roman"/>
      <w:b/>
      <w:bCs/>
      <w:szCs w:val="21"/>
    </w:rPr>
  </w:style>
  <w:style w:type="paragraph" w:styleId="1083" w:customStyle="1">
    <w:name w:val="正文首行缩进1"/>
    <w:basedOn w:val="834"/>
    <w:link w:val="1084"/>
    <w:uiPriority w:val="0"/>
    <w:qFormat/>
    <w:pPr>
      <w:ind w:firstLine="200"/>
      <w:spacing w:line="360" w:lineRule="auto"/>
    </w:pPr>
    <w:rPr>
      <w:rFonts w:ascii="仿宋_GB2312" w:hAnsi="Times New Roman" w:eastAsia="仿宋_GB2312" w:cs="Times New Roman"/>
      <w:sz w:val="30"/>
      <w:szCs w:val="30"/>
    </w:rPr>
  </w:style>
  <w:style w:type="character" w:styleId="1084" w:customStyle="1">
    <w:name w:val="正文首行缩进 Char"/>
    <w:link w:val="1083"/>
    <w:uiPriority w:val="0"/>
    <w:qFormat/>
    <w:rPr>
      <w:rFonts w:ascii="仿宋_GB2312" w:hAnsi="Times New Roman" w:eastAsia="仿宋_GB2312" w:cs="Times New Roman"/>
      <w:sz w:val="30"/>
      <w:szCs w:val="30"/>
    </w:rPr>
  </w:style>
  <w:style w:type="table" w:styleId="1085" w:customStyle="1">
    <w:name w:val="网格型11"/>
    <w:basedOn w:val="1029"/>
    <w:uiPriority w:val="0"/>
    <w:qFormat/>
    <w:pPr>
      <w:jc w:val="both"/>
      <w:widowControl w:val="off"/>
    </w:pPr>
    <w:rPr>
      <w:rFonts w:ascii="Times New Roman" w:hAnsi="Times New Roman" w:eastAsia="宋体" w:cs="Times New Roman"/>
      <w:sz w:val="20"/>
      <w:szCs w:val="20"/>
    </w:rPr>
    <w:tblPr/>
  </w:style>
  <w:style w:type="character" w:styleId="1086" w:customStyle="1">
    <w:name w:val="要点1"/>
    <w:link w:val="834"/>
    <w:uiPriority w:val="0"/>
    <w:qFormat/>
    <w:rPr>
      <w:b/>
      <w:bCs/>
    </w:rPr>
  </w:style>
  <w:style w:type="character" w:styleId="1087" w:customStyle="1">
    <w:name w:val="页码11"/>
    <w:link w:val="834"/>
    <w:uiPriority w:val="0"/>
    <w:qFormat/>
  </w:style>
  <w:style w:type="character" w:styleId="1088" w:customStyle="1">
    <w:name w:val="已访问的超链接1"/>
    <w:link w:val="834"/>
    <w:uiPriority w:val="0"/>
    <w:qFormat/>
    <w:rPr>
      <w:color w:val="800080"/>
      <w:u w:val="single"/>
    </w:rPr>
  </w:style>
  <w:style w:type="character" w:styleId="1089" w:customStyle="1">
    <w:name w:val="超链接1"/>
    <w:link w:val="834"/>
    <w:uiPriority w:val="0"/>
    <w:qFormat/>
    <w:rPr>
      <w:color w:val="0000ff"/>
      <w:u w:val="single"/>
    </w:rPr>
  </w:style>
  <w:style w:type="character" w:styleId="1090" w:customStyle="1">
    <w:name w:val="批注引用1"/>
    <w:link w:val="834"/>
    <w:uiPriority w:val="0"/>
    <w:semiHidden/>
    <w:qFormat/>
    <w:rPr>
      <w:sz w:val="21"/>
      <w:szCs w:val="21"/>
    </w:rPr>
  </w:style>
  <w:style w:type="character" w:styleId="1091" w:customStyle="1">
    <w:name w:val="批注文字 字符"/>
    <w:basedOn w:val="1028"/>
    <w:link w:val="1046"/>
    <w:uiPriority w:val="0"/>
    <w:qFormat/>
    <w:rPr>
      <w:rFonts w:ascii="Calibri" w:hAnsi="Calibri" w:eastAsia="宋体" w:cs="Times New Roman"/>
      <w:sz w:val="21"/>
      <w:szCs w:val="24"/>
    </w:rPr>
  </w:style>
  <w:style w:type="character" w:styleId="1092" w:customStyle="1">
    <w:name w:val="NormalCharacter1"/>
    <w:link w:val="834"/>
    <w:uiPriority w:val="0"/>
    <w:semiHidden/>
    <w:qFormat/>
    <w:rPr>
      <w:rFonts w:ascii="宋体" w:hAnsi="宋体" w:eastAsia="宋体" w:cs="宋体"/>
      <w:color w:val="000000"/>
      <w:sz w:val="24"/>
      <w:szCs w:val="24"/>
      <w:lang w:val="en-US" w:eastAsia="zh-CN" w:bidi="ar-SA"/>
    </w:rPr>
  </w:style>
  <w:style w:type="paragraph" w:styleId="1093" w:customStyle="1">
    <w:name w:val="索引 41"/>
    <w:basedOn w:val="834"/>
    <w:next w:val="834"/>
    <w:uiPriority w:val="0"/>
    <w:semiHidden/>
    <w:qFormat/>
    <w:pPr>
      <w:ind w:left="1260"/>
    </w:pPr>
    <w:rPr>
      <w:rFonts w:ascii="Calibri" w:hAnsi="Calibri" w:eastAsia="Calibri" w:cs="宋体"/>
      <w:sz w:val="20"/>
      <w:lang w:val="zh-CN"/>
    </w:rPr>
  </w:style>
  <w:style w:type="character" w:styleId="1094" w:customStyle="1">
    <w:name w:val="font5 Char"/>
    <w:link w:val="834"/>
    <w:uiPriority w:val="0"/>
    <w:qFormat/>
    <w:rPr>
      <w:rFonts w:ascii="宋体" w:hAnsi="宋体" w:eastAsia="宋体"/>
      <w:sz w:val="28"/>
      <w:szCs w:val="28"/>
      <w:lang w:val="en-US" w:eastAsia="zh-CN" w:bidi="ar-SA"/>
    </w:rPr>
  </w:style>
  <w:style w:type="character" w:styleId="1095" w:customStyle="1">
    <w:name w:val="二级目录 Char"/>
    <w:link w:val="1096"/>
    <w:uiPriority w:val="0"/>
    <w:qFormat/>
    <w:rPr>
      <w:b/>
      <w:sz w:val="30"/>
      <w:szCs w:val="28"/>
    </w:rPr>
  </w:style>
  <w:style w:type="paragraph" w:styleId="1096" w:customStyle="1">
    <w:name w:val="二级目录"/>
    <w:next w:val="834"/>
    <w:link w:val="109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7" w:customStyle="1">
    <w:name w:val="列出段落 Char"/>
    <w:link w:val="1098"/>
    <w:uiPriority w:val="0"/>
    <w:qFormat/>
    <w:rPr>
      <w:rFonts w:ascii="Calibri" w:hAnsi="Calibri"/>
      <w:sz w:val="24"/>
      <w:szCs w:val="24"/>
      <w:lang w:eastAsia="en-US" w:bidi="en-US"/>
    </w:rPr>
  </w:style>
  <w:style w:type="paragraph" w:styleId="1098" w:customStyle="1">
    <w:name w:val="列出段落1"/>
    <w:basedOn w:val="834"/>
    <w:link w:val="1097"/>
    <w:uiPriority w:val="0"/>
    <w:qFormat/>
    <w:pPr>
      <w:contextualSpacing/>
      <w:ind w:left="720"/>
      <w:jc w:val="left"/>
      <w:widowControl/>
    </w:pPr>
    <w:rPr>
      <w:rFonts w:ascii="Calibri" w:hAnsi="Calibri"/>
      <w:sz w:val="24"/>
      <w:szCs w:val="24"/>
      <w:lang w:eastAsia="en-US" w:bidi="en-US"/>
    </w:rPr>
  </w:style>
  <w:style w:type="paragraph" w:styleId="1099" w:customStyle="1">
    <w:name w:val="Body Text(ch)"/>
    <w:basedOn w:val="834"/>
    <w:next w:val="1050"/>
    <w:uiPriority w:val="0"/>
    <w:qFormat/>
    <w:pPr>
      <w:spacing w:after="120"/>
    </w:pPr>
    <w:rPr>
      <w:rFonts w:ascii="宋体" w:hAnsi="Arial" w:eastAsia="宋体" w:cs="Times New Roman"/>
      <w:bCs/>
      <w:iCs/>
      <w:szCs w:val="24"/>
    </w:rPr>
  </w:style>
  <w:style w:type="paragraph" w:styleId="1100" w:customStyle="1">
    <w:name w:val="xl27"/>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1" w:customStyle="1">
    <w:name w:val="xl26"/>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2" w:customStyle="1">
    <w:name w:val="Char"/>
    <w:basedOn w:val="834"/>
    <w:uiPriority w:val="0"/>
    <w:qFormat/>
    <w:pPr>
      <w:ind w:firstLine="200"/>
      <w:tabs>
        <w:tab w:val="left" w:pos="360" w:leader="none"/>
      </w:tabs>
    </w:pPr>
    <w:rPr>
      <w:rFonts w:ascii="Times New Roman" w:hAnsi="Times New Roman" w:eastAsia="宋体" w:cs="Times New Roman"/>
      <w:sz w:val="28"/>
      <w:szCs w:val="30"/>
    </w:rPr>
  </w:style>
  <w:style w:type="paragraph" w:styleId="1103" w:customStyle="1">
    <w:name w:val=" Char"/>
    <w:basedOn w:val="1044"/>
    <w:uiPriority w:val="0"/>
    <w:qFormat/>
    <w:rPr>
      <w:rFonts w:ascii="Tahoma" w:hAnsi="Tahoma"/>
      <w:sz w:val="24"/>
      <w:szCs w:val="24"/>
    </w:rPr>
  </w:style>
  <w:style w:type="paragraph" w:styleId="1104" w:customStyle="1">
    <w:name w:val="普通正文"/>
    <w:basedOn w:val="834"/>
    <w:uiPriority w:val="0"/>
    <w:qFormat/>
    <w:pPr>
      <w:ind w:firstLine="480"/>
      <w:jc w:val="left"/>
      <w:spacing w:before="120" w:after="120" w:line="360" w:lineRule="auto"/>
    </w:pPr>
    <w:rPr>
      <w:rFonts w:ascii="Arial" w:hAnsi="Arial" w:eastAsia="宋体" w:cs="Times New Roman"/>
      <w:sz w:val="24"/>
      <w:szCs w:val="24"/>
    </w:rPr>
  </w:style>
  <w:style w:type="paragraph" w:styleId="1105" w:customStyle="1">
    <w:name w:val="table_lines"/>
    <w:basedOn w:val="834"/>
    <w:uiPriority w:val="0"/>
    <w:qFormat/>
    <w:pPr>
      <w:jc w:val="left"/>
      <w:widowControl/>
    </w:pPr>
    <w:rPr>
      <w:rFonts w:ascii="Times New Roman" w:hAnsi="Times New Roman" w:eastAsia="宋体" w:cs="Times New Roman"/>
      <w:sz w:val="20"/>
      <w:szCs w:val="20"/>
      <w:lang w:val="de-DE" w:eastAsia="de-DE"/>
    </w:rPr>
  </w:style>
  <w:style w:type="paragraph" w:styleId="110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7" w:customStyle="1">
    <w:name w:val="font7"/>
    <w:basedOn w:val="8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08" w:customStyle="1">
    <w:name w:val=" Char Char Char Char"/>
    <w:basedOn w:val="1044"/>
    <w:uiPriority w:val="0"/>
    <w:qFormat/>
    <w:pPr>
      <w:spacing w:line="360" w:lineRule="auto"/>
    </w:pPr>
    <w:rPr>
      <w:rFonts w:ascii="Tahoma" w:hAnsi="Tahoma"/>
      <w:sz w:val="24"/>
      <w:szCs w:val="24"/>
    </w:rPr>
  </w:style>
  <w:style w:type="paragraph" w:styleId="1109" w:customStyle="1">
    <w:name w:val="列出段落"/>
    <w:basedOn w:val="834"/>
    <w:uiPriority w:val="0"/>
    <w:qFormat/>
    <w:pPr>
      <w:contextualSpacing/>
      <w:ind w:left="720"/>
      <w:jc w:val="left"/>
      <w:widowControl/>
    </w:pPr>
    <w:rPr>
      <w:rFonts w:ascii="Calibri" w:hAnsi="Calibri" w:eastAsia="宋体" w:cs="Times New Roman"/>
      <w:sz w:val="24"/>
      <w:szCs w:val="24"/>
      <w:lang w:eastAsia="en-US" w:bidi="en-US"/>
    </w:rPr>
  </w:style>
  <w:style w:type="paragraph" w:styleId="1110" w:customStyle="1">
    <w:name w:val="4"/>
    <w:basedOn w:val="834"/>
    <w:next w:val="1072"/>
    <w:uiPriority w:val="0"/>
    <w:qFormat/>
    <w:pPr>
      <w:ind w:firstLine="420"/>
      <w:spacing w:line="360" w:lineRule="auto"/>
    </w:pPr>
    <w:rPr>
      <w:rFonts w:ascii="Times New Roman" w:hAnsi="Times New Roman" w:eastAsia="宋体" w:cs="Times New Roman"/>
      <w:color w:val="ff0000"/>
      <w:sz w:val="24"/>
      <w:szCs w:val="24"/>
    </w:rPr>
  </w:style>
  <w:style w:type="paragraph" w:styleId="1111" w:customStyle="1">
    <w:name w:val="普通 (Web)"/>
    <w:basedOn w:val="834"/>
    <w:uiPriority w:val="0"/>
    <w:qFormat/>
    <w:pPr>
      <w:jc w:val="left"/>
      <w:spacing w:before="100" w:beforeAutospacing="1" w:after="100" w:afterAutospacing="1"/>
      <w:widowControl/>
    </w:pPr>
    <w:rPr>
      <w:rFonts w:ascii="宋体" w:hAnsi="宋体" w:eastAsia="宋体" w:cs="Times New Roman"/>
      <w:sz w:val="24"/>
      <w:szCs w:val="24"/>
    </w:rPr>
  </w:style>
  <w:style w:type="paragraph" w:styleId="1112" w:customStyle="1">
    <w:name w:val=" Char Char Char Char Char Char Char Char Char Char"/>
    <w:basedOn w:val="834"/>
    <w:uiPriority w:val="0"/>
    <w:qFormat/>
    <w:pPr>
      <w:spacing w:line="360" w:lineRule="auto"/>
    </w:pPr>
    <w:rPr>
      <w:rFonts w:ascii="Times New Roman" w:hAnsi="Times New Roman" w:eastAsia="宋体" w:cs="Times New Roman"/>
      <w:sz w:val="24"/>
      <w:szCs w:val="20"/>
    </w:rPr>
  </w:style>
  <w:style w:type="paragraph" w:styleId="1113" w:customStyle="1">
    <w:name w:val="样式1"/>
    <w:basedOn w:val="834"/>
    <w:uiPriority w:val="0"/>
    <w:qFormat/>
    <w:pPr>
      <w:numPr>
        <w:ilvl w:val="0"/>
        <w:numId w:val="3"/>
      </w:numPr>
    </w:pPr>
    <w:rPr>
      <w:rFonts w:ascii="宋体" w:hAnsi="宋体" w:eastAsia="宋体" w:cs="Times New Roman"/>
      <w:szCs w:val="21"/>
    </w:rPr>
  </w:style>
  <w:style w:type="paragraph" w:styleId="1114" w:customStyle="1">
    <w:name w:val="font6"/>
    <w:basedOn w:val="83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15" w:customStyle="1">
    <w:name w:val="xl25"/>
    <w:basedOn w:val="8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6" w:customStyle="1">
    <w:name w:val="图标"/>
    <w:basedOn w:val="834"/>
    <w:next w:val="83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17" w:customStyle="1">
    <w:name w:val="标题3"/>
    <w:basedOn w:val="834"/>
    <w:next w:val="834"/>
    <w:uiPriority w:val="0"/>
    <w:qFormat/>
    <w:pPr>
      <w:ind w:firstLine="624"/>
      <w:spacing w:line="590" w:lineRule="atLeast"/>
    </w:pPr>
    <w:rPr>
      <w:rFonts w:ascii="方正黑体_GBK" w:hAnsi="Times New Roman" w:eastAsia="方正黑体_GBK" w:cs="Times New Roman"/>
      <w:sz w:val="32"/>
      <w:szCs w:val="32"/>
    </w:rPr>
  </w:style>
  <w:style w:type="paragraph" w:styleId="1118" w:customStyle="1">
    <w:name w:val="xl24"/>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9" w:customStyle="1">
    <w:name w:val="xl29"/>
    <w:basedOn w:val="83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20" w:customStyle="1">
    <w:name w:val="Char Char Char Char Char Char Char Char"/>
    <w:basedOn w:val="834"/>
    <w:uiPriority w:val="0"/>
    <w:qFormat/>
    <w:pPr>
      <w:jc w:val="left"/>
      <w:spacing w:after="160" w:line="240" w:lineRule="exact"/>
      <w:widowControl/>
    </w:pPr>
    <w:rPr>
      <w:rFonts w:ascii="Verdana" w:hAnsi="Verdana" w:eastAsia="宋体" w:cs="Times New Roman"/>
      <w:sz w:val="20"/>
      <w:szCs w:val="20"/>
      <w:lang w:eastAsia="en-US"/>
    </w:rPr>
  </w:style>
  <w:style w:type="paragraph" w:styleId="1121" w:customStyle="1">
    <w:name w:val="xl28"/>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22" w:customStyle="1">
    <w:name w:val=" Char Char Char Char Char Char Char Char"/>
    <w:basedOn w:val="834"/>
    <w:uiPriority w:val="0"/>
    <w:qFormat/>
    <w:pPr>
      <w:jc w:val="left"/>
      <w:spacing w:after="160" w:line="240" w:lineRule="exact"/>
      <w:widowControl/>
    </w:pPr>
    <w:rPr>
      <w:rFonts w:ascii="Verdana" w:hAnsi="Verdana" w:eastAsia="宋体" w:cs="Times New Roman"/>
      <w:sz w:val="20"/>
      <w:szCs w:val="20"/>
      <w:lang w:eastAsia="en-US"/>
    </w:rPr>
  </w:style>
  <w:style w:type="paragraph" w:styleId="1123" w:customStyle="1">
    <w:name w:val="xl30"/>
    <w:basedOn w:val="83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24" w:customStyle="1">
    <w:name w:val="Char Char Char Char"/>
    <w:basedOn w:val="1044"/>
    <w:uiPriority w:val="0"/>
    <w:qFormat/>
    <w:pPr>
      <w:spacing w:line="360" w:lineRule="auto"/>
    </w:pPr>
    <w:rPr>
      <w:rFonts w:ascii="Tahoma" w:hAnsi="Tahoma"/>
      <w:sz w:val="24"/>
      <w:szCs w:val="24"/>
    </w:rPr>
  </w:style>
  <w:style w:type="paragraph" w:styleId="1125" w:customStyle="1">
    <w:name w:val="table_1stline"/>
    <w:basedOn w:val="834"/>
    <w:uiPriority w:val="0"/>
    <w:qFormat/>
    <w:pPr>
      <w:jc w:val="left"/>
      <w:spacing w:before="120"/>
      <w:widowControl/>
    </w:pPr>
    <w:rPr>
      <w:rFonts w:ascii="Times New Roman" w:hAnsi="Times New Roman" w:eastAsia="宋体" w:cs="Times New Roman"/>
      <w:bCs/>
      <w:sz w:val="20"/>
      <w:szCs w:val="20"/>
      <w:lang w:val="de-DE" w:eastAsia="de-DE"/>
    </w:rPr>
  </w:style>
  <w:style w:type="paragraph" w:styleId="1126" w:customStyle="1">
    <w:name w:val="font5"/>
    <w:basedOn w:val="83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27" w:customStyle="1">
    <w:name w:val="标题1"/>
    <w:basedOn w:val="834"/>
    <w:next w:val="83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2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30" w:customStyle="1">
    <w:name w:val="Table Normal"/>
    <w:uiPriority w:val="0"/>
    <w:qFormat/>
    <w:tblPr/>
  </w:style>
  <w:style w:type="paragraph" w:styleId="1131" w:customStyle="1">
    <w:name w:val="正文文本12"/>
    <w:basedOn w:val="834"/>
    <w:uiPriority w:val="1"/>
    <w:qFormat/>
    <w:pPr>
      <w:ind w:left="120"/>
    </w:pPr>
    <w:rPr>
      <w:rFonts w:ascii="宋体" w:hAnsi="宋体" w:eastAsia="宋体" w:cs="宋体"/>
      <w:sz w:val="21"/>
      <w:szCs w:val="21"/>
      <w:lang w:val="zh-CN" w:eastAsia="zh-CN" w:bidi="zh-CN"/>
    </w:rPr>
  </w:style>
  <w:style w:type="paragraph" w:styleId="1132" w:customStyle="1">
    <w:name w:val="正文文本 211"/>
    <w:basedOn w:val="834"/>
    <w:uiPriority w:val="99"/>
    <w:qFormat/>
    <w:pPr>
      <w:jc w:val="center"/>
    </w:pPr>
    <w:rPr>
      <w:b/>
      <w:bCs/>
      <w:sz w:val="20"/>
      <w:szCs w:val="20"/>
    </w:rPr>
  </w:style>
  <w:style w:type="paragraph" w:styleId="1133" w:customStyle="1">
    <w:name w:val="正文文本1"/>
    <w:basedOn w:val="834"/>
    <w:next w:val="834"/>
    <w:uiPriority w:val="0"/>
    <w:semiHidden/>
    <w:qFormat/>
    <w:rPr>
      <w:rFonts w:ascii="Arial" w:hAnsi="Arial" w:eastAsia="Arial" w:cs="Arial"/>
      <w:sz w:val="21"/>
      <w:szCs w:val="21"/>
      <w:lang w:val="en-US" w:eastAsia="en-US" w:bidi="ar-SA"/>
    </w:rPr>
  </w:style>
  <w:style w:type="paragraph" w:styleId="1134" w:customStyle="1">
    <w:name w:val="Table Paragraph"/>
    <w:basedOn w:val="834"/>
    <w:uiPriority w:val="1"/>
    <w:qFormat/>
    <w:pPr>
      <w:jc w:val="left"/>
    </w:pPr>
    <w:rPr>
      <w:rFonts w:ascii="宋体" w:hAnsi="宋体" w:eastAsia="宋体" w:cs="宋体"/>
      <w:sz w:val="22"/>
      <w:szCs w:val="22"/>
      <w:lang w:val="zh-CN" w:bidi="zh-CN"/>
    </w:rPr>
  </w:style>
  <w:style w:type="table" w:styleId="1135" w:customStyle="1">
    <w:name w:val="网格型1"/>
    <w:basedOn w:val="1136"/>
    <w:uiPriority w:val="0"/>
    <w:qFormat/>
    <w:pPr>
      <w:jc w:val="both"/>
      <w:widowControl w:val="off"/>
    </w:pPr>
    <w:tblPr/>
  </w:style>
  <w:style w:type="table" w:styleId="1136" w:customStyle="1">
    <w:name w:val="普通表格1"/>
    <w:uiPriority w:val="99"/>
    <w:unhideWhenUsed/>
    <w:qFormat/>
    <w:tblPr/>
  </w:style>
  <w:style w:type="paragraph" w:styleId="1137" w:customStyle="1">
    <w:name w:val="正文文本缩进1"/>
    <w:basedOn w:val="834"/>
    <w:next w:val="1138"/>
    <w:uiPriority w:val="0"/>
    <w:unhideWhenUsed/>
    <w:qFormat/>
    <w:pPr>
      <w:ind w:left="420"/>
      <w:spacing w:after="120"/>
    </w:pPr>
  </w:style>
  <w:style w:type="paragraph" w:styleId="1138" w:customStyle="1">
    <w:name w:val="正文文本首行缩进 2"/>
    <w:basedOn w:val="1137"/>
    <w:uiPriority w:val="0"/>
    <w:qFormat/>
    <w:pPr>
      <w:ind w:left="0" w:firstLine="420"/>
      <w:spacing w:after="0" w:line="360" w:lineRule="auto"/>
    </w:pPr>
    <w:rPr>
      <w:rFonts w:ascii="宋体" w:hAnsi="宋体"/>
      <w:sz w:val="20"/>
      <w:szCs w:val="20"/>
      <w:lang w:val="en-US" w:eastAsia="en-US"/>
    </w:rPr>
  </w:style>
  <w:style w:type="table" w:styleId="1139" w:customStyle="1">
    <w:name w:val="Table Normal_0"/>
    <w:uiPriority w:val="0"/>
    <w:qFormat/>
    <w:tblPr/>
  </w:style>
  <w:style w:type="paragraph" w:styleId="1140" w:customStyle="1">
    <w:name w:val="正文首行缩进 21"/>
    <w:basedOn w:val="1141"/>
    <w:next w:val="834"/>
    <w:uiPriority w:val="0"/>
    <w:qFormat/>
    <w:pPr>
      <w:ind w:left="0" w:firstLine="420"/>
      <w:spacing w:after="0" w:line="360" w:lineRule="auto"/>
    </w:pPr>
    <w:rPr>
      <w:rFonts w:ascii="宋体" w:hAnsi="宋体"/>
      <w:sz w:val="20"/>
      <w:szCs w:val="20"/>
      <w:lang w:val="en-US" w:eastAsia="en-US"/>
    </w:rPr>
  </w:style>
  <w:style w:type="paragraph" w:styleId="1141" w:customStyle="1">
    <w:name w:val="正文文本缩进11"/>
    <w:basedOn w:val="834"/>
    <w:next w:val="1142"/>
    <w:uiPriority w:val="0"/>
    <w:unhideWhenUsed/>
    <w:qFormat/>
    <w:pPr>
      <w:ind w:left="420"/>
      <w:spacing w:after="120"/>
    </w:pPr>
  </w:style>
  <w:style w:type="paragraph" w:styleId="1142" w:customStyle="1">
    <w:name w:val="寄信人地址1"/>
    <w:basedOn w:val="834"/>
    <w:uiPriority w:val="0"/>
    <w:qFormat/>
    <w:rPr>
      <w:rFonts w:ascii="Arial" w:hAnsi="Arial" w:eastAsia="宋体" w:cs="宋体"/>
    </w:rPr>
  </w:style>
  <w:style w:type="paragraph" w:styleId="1143" w:customStyle="1">
    <w:name w:val="页眉1"/>
    <w:basedOn w:val="83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44" w:customStyle="1">
    <w:name w:val="页脚1"/>
    <w:basedOn w:val="83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45" w:customStyle="1">
    <w:name w:val="页码1"/>
    <w:link w:val="834"/>
    <w:uiPriority w:val="0"/>
    <w:qFormat/>
    <w:rPr>
      <w:sz w:val="21"/>
      <w:szCs w:val="22"/>
      <w:lang w:val="en-US" w:eastAsia="zh-CN" w:bidi="ar-SA"/>
    </w:rPr>
  </w:style>
  <w:style w:type="character" w:styleId="1146" w:customStyle="1">
    <w:name w:val="font21"/>
    <w:basedOn w:val="1028"/>
    <w:link w:val="834"/>
    <w:uiPriority w:val="0"/>
    <w:qFormat/>
    <w:rPr>
      <w:rFonts w:ascii="Times New Roman" w:hAnsi="Times New Roman" w:cs="Times New Roman"/>
      <w:color w:val="000000"/>
      <w:sz w:val="24"/>
      <w:szCs w:val="24"/>
      <w:u w:val="none"/>
    </w:rPr>
  </w:style>
  <w:style w:type="character" w:styleId="1147" w:customStyle="1">
    <w:name w:val="font11"/>
    <w:basedOn w:val="1028"/>
    <w:link w:val="834"/>
    <w:uiPriority w:val="0"/>
    <w:qFormat/>
    <w:rPr>
      <w:rFonts w:hint="eastAsia" w:ascii="仿宋" w:hAnsi="仿宋" w:eastAsia="仿宋" w:cs="仿宋"/>
      <w:color w:val="000000"/>
      <w:sz w:val="24"/>
      <w:szCs w:val="24"/>
      <w:u w:val="none"/>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8</cp:revision>
  <dcterms:created xsi:type="dcterms:W3CDTF">2023-03-16T02:13:00Z</dcterms:created>
  <dcterms:modified xsi:type="dcterms:W3CDTF">2025-11-13T07:15:39Z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eyJoZGlkIjoiMTRlMmVlZTU2NWJmNjYyYzFlYzdmMWQyZjY2MjgwOWUiLCJ1c2VySWQiOiIxMjA3OTU4OTE4In0=</vt:lpwstr>
  </property>
  <property fmtid="{D5CDD505-2E9C-101B-9397-08002B2CF9AE}" pid="3" name="KSOProductBuildVer">
    <vt:lpwstr>2052-12.1.0.22215</vt:lpwstr>
  </property>
  <property fmtid="{D5CDD505-2E9C-101B-9397-08002B2CF9AE}" pid="4" name="ICV">
    <vt:lpwstr>EC5B67AFF32446739E8CE93CD3D4F1F3_13</vt:lpwstr>
  </property>
</Properties>
</file>